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after="120" w:before="0" w:line="580" w:lineRule="exact"/>
      </w:pPr>
      <w:r>
        <w:rPr>
          <w:rFonts w:ascii="Arial" w:hAnsi="Arial" w:eastAsia="Arial"/>
          <w:sz w:val="46"/>
        </w:rPr>
        <w:t>Éléments finis avec l’IA</w:t>
      </w:r>
    </w:p>
    <w:p>
      <w:pPr>
        <w:pStyle w:val="Heading2"/>
        <w:keepNext/>
        <w:widowControl/>
        <w:spacing w:after="120" w:before="100" w:line="320" w:lineRule="exact"/>
      </w:pPr>
      <w:r>
        <w:rPr>
          <w:rFonts w:ascii="Arial" w:hAnsi="Arial" w:eastAsia="Arial"/>
          <w:sz w:val="24"/>
        </w:rPr>
        <w:t>Travaux pratiques d’initiation à AgentFEM</w:t>
      </w:r>
    </w:p>
    <w:p>
      <w:pPr>
        <w:pStyle w:val="Caption"/>
        <w:keepNext w:val="0"/>
        <w:widowControl/>
        <w:spacing w:after="120" w:before="0" w:line="230" w:lineRule="exact"/>
      </w:pPr>
      <w:r>
        <w:rPr>
          <w:rFonts w:ascii="Times New Roman" w:hAnsi="Times New Roman" w:eastAsia="Times New Roman"/>
          <w:sz w:val="18"/>
        </w:rPr>
        <w:t>Nom ____________________ Date ____________________</w:t>
      </w:r>
    </w:p>
    <w:p>
      <w:pPr>
        <w:pStyle w:val="Heading2"/>
        <w:keepNext/>
        <w:widowControl/>
        <w:spacing w:after="120" w:before="100" w:line="320" w:lineRule="exact"/>
      </w:pPr>
      <w:r>
        <w:rPr>
          <w:rFonts w:ascii="Arial" w:hAnsi="Arial" w:eastAsia="Arial"/>
          <w:sz w:val="24"/>
        </w:rPr>
        <w:t>Objectifs pédagogiques</w:t>
      </w:r>
    </w:p>
    <w:p>
      <w:pPr>
        <w:keepNext w:val="0"/>
        <w:widowControl/>
        <w:spacing w:after="120" w:before="0" w:line="280" w:lineRule="exact"/>
      </w:pPr>
      <w:r>
        <w:rPr>
          <w:rFonts w:ascii="Times New Roman" w:hAnsi="Times New Roman" w:eastAsia="Times New Roman"/>
          <w:sz w:val="21"/>
        </w:rPr>
        <w:t>Décrire un problème par éléments finis, vérifier les conditions de modélisation et analyser les résultats à l’aide de la théorie et de comparaisons numériques. Aucune programmation n’est requise ; identifiez la géométrie, le matériau, les conditions aux limites et les grandeurs recherchées.</w:t>
      </w:r>
    </w:p>
    <w:p>
      <w:pPr>
        <w:pStyle w:val="Heading2"/>
        <w:keepNext/>
        <w:widowControl/>
        <w:spacing w:after="120" w:before="100" w:line="320" w:lineRule="exact"/>
      </w:pPr>
      <w:r>
        <w:rPr>
          <w:rFonts w:ascii="Arial" w:hAnsi="Arial" w:eastAsia="Arial"/>
          <w:sz w:val="24"/>
        </w:rPr>
        <w:t>Préparation</w:t>
      </w:r>
    </w:p>
    <w:p>
      <w:pPr>
        <w:pStyle w:val="Caption"/>
        <w:keepNext w:val="0"/>
        <w:widowControl/>
        <w:spacing w:after="120" w:before="0" w:line="230" w:lineRule="exact"/>
      </w:pPr>
      <w:r>
        <w:rPr>
          <w:rFonts w:ascii="Times New Roman" w:hAnsi="Times New Roman" w:eastAsia="Times New Roman"/>
          <w:sz w:val="18"/>
        </w:rPr>
        <w:t>Utilisez un assistant IA connecté à une installation locale d’AgentFEM. Envoyez d’abord :</w:t>
      </w:r>
    </w:p>
    <w:p>
      <w:pPr>
        <w:keepNext w:val="0"/>
        <w:widowControl/>
        <w:spacing w:after="120" w:before="0" w:line="270" w:lineRule="exact"/>
      </w:pPr>
      <w:r>
        <w:rPr>
          <w:rFonts w:ascii="Times New Roman" w:hAnsi="Times New Roman" w:eastAsia="Times New Roman"/>
          <w:sz w:val="21"/>
        </w:rPr>
        <w:t>Vérifie que tu peux exécuter AgentFEM. Indique sa version et le dossier où seront enregistrés les projets. Demande mon accord avant toute installation ou configuration. Pour le moment, vérifie uniquement l’environnement ; ne lance aucune simulation.</w:t>
      </w:r>
    </w:p>
    <w:p>
      <w:pPr>
        <w:pStyle w:val="Caption"/>
        <w:keepNext w:val="0"/>
        <w:widowControl/>
        <w:spacing w:after="120" w:before="0" w:line="230" w:lineRule="exact"/>
      </w:pPr>
      <w:r>
        <w:rPr>
          <w:rFonts w:ascii="Times New Roman" w:hAnsi="Times New Roman" w:eastAsia="Times New Roman"/>
          <w:sz w:val="18"/>
        </w:rPr>
        <w:t>Une fois l’environnement disponible, envoyez ces instructions. Attendez la réponse avant d’envoyer un exercice.</w:t>
      </w:r>
    </w:p>
    <w:p>
      <w:pPr>
        <w:keepNext w:val="0"/>
        <w:widowControl/>
        <w:spacing w:after="120" w:before="0" w:line="270" w:lineRule="exact"/>
      </w:pPr>
      <w:r>
        <w:rPr>
          <w:rFonts w:ascii="Times New Roman" w:hAnsi="Times New Roman" w:eastAsia="Times New Roman"/>
          <w:sz w:val="21"/>
        </w:rPr>
        <w:t>Je vais t’envoyer un exercice. À sa réception, crée un nouveau projet AgentFEM, vérifie-le et lance le calcul. Conserve le modèle et les résultats. Présente uniquement une figure, les valeurs principales avec leurs unités et une explication en deux ou trois phrases, sans longue analyse. Signale toute donnée indispensable manquante ou impossibilité de calcul. Pour le moment, réponds seulement : « Prêt. Envoie-moi l’exercice. » Ne lance aucun calcul et ne devine pas l’exercice.</w:t>
      </w:r>
    </w:p>
    <w:p>
      <w:pPr>
        <w:pStyle w:val="Heading2"/>
        <w:keepNext/>
        <w:widowControl/>
        <w:spacing w:after="120" w:before="100" w:line="320" w:lineRule="exact"/>
      </w:pPr>
      <w:r>
        <w:rPr>
          <w:rFonts w:ascii="Arial" w:hAnsi="Arial" w:eastAsia="Arial"/>
          <w:sz w:val="24"/>
        </w:rPr>
        <w:t>Déroulement</w:t>
      </w:r>
    </w:p>
    <w:p>
      <w:pPr>
        <w:keepNext w:val="0"/>
        <w:widowControl/>
        <w:spacing w:after="120" w:before="0" w:line="270" w:lineRule="exact"/>
      </w:pPr>
      <w:r>
        <w:rPr>
          <w:rFonts w:ascii="Times New Roman" w:hAnsi="Times New Roman" w:eastAsia="Times New Roman"/>
          <w:sz w:val="21"/>
        </w:rPr>
        <w:t>1. Lisez le problème et estimez le sens et l’ordre de grandeur de la réponse. Envoyez la consigne, puis vérifiez la figure, les valeurs et les unités.</w:t>
      </w:r>
    </w:p>
    <w:p>
      <w:pPr>
        <w:keepNext w:val="0"/>
        <w:widowControl/>
        <w:spacing w:after="120" w:before="0" w:line="270" w:lineRule="exact"/>
      </w:pPr>
      <w:r>
        <w:rPr>
          <w:rFonts w:ascii="Times New Roman" w:hAnsi="Times New Roman" w:eastAsia="Times New Roman"/>
          <w:sz w:val="21"/>
        </w:rPr>
        <w:t>2. Effectuez la comparaison, complétez vos observations et expliquez les résultats avec vos propres mots.</w:t>
      </w:r>
    </w:p>
    <w:p>
      <w:pPr>
        <w:keepNext w:val="0"/>
        <w:widowControl/>
        <w:spacing w:after="120" w:before="0" w:line="270" w:lineRule="exact"/>
      </w:pPr>
      <w:r>
        <w:rPr>
          <w:rFonts w:ascii="Times New Roman" w:hAnsi="Times New Roman" w:eastAsia="Times New Roman"/>
          <w:sz w:val="21"/>
        </w:rPr>
        <w:t>3. Consultez le corrigé aux pages 8 à 10. En cas d’écart important, vérifiez les conditions avant de raffiner le maillage ou le pas de temps.</w:t>
      </w:r>
    </w:p>
    <w:p>
      <w:pPr>
        <w:pStyle w:val="Heading2"/>
        <w:keepNext/>
        <w:widowControl/>
        <w:spacing w:after="120" w:before="100" w:line="320" w:lineRule="exact"/>
      </w:pPr>
      <w:r>
        <w:rPr>
          <w:rFonts w:ascii="Arial" w:hAnsi="Arial" w:eastAsia="Arial"/>
          <w:sz w:val="24"/>
        </w:rPr>
        <w:t>Programme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00"/>
        <w:gridCol w:w="4560"/>
        <w:gridCol w:w="4720"/>
      </w:tblGrid>
      <w:tr>
        <w:trPr>
          <w:tblHeader/>
        </w:trPr>
        <w:tc>
          <w:tcPr>
            <w:tcW w:type="dxa" w:w="7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N°</w:t>
            </w:r>
          </w:p>
        </w:tc>
        <w:tc>
          <w:tcPr>
            <w:tcW w:type="dxa" w:w="456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Exercice</w:t>
            </w:r>
          </w:p>
        </w:tc>
        <w:tc>
          <w:tcPr>
            <w:tcW w:type="dxa" w:w="47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Vérification</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Flexion d’une poutre encastrée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Théorie des poutres et proportionnalité</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Cylindre épais sous pression interne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Solution de Lamé</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Conduction stationnaire dans une plaque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Profil linéaire et loi de Sixier</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Échauffement transitoire d’une plaque</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Série analytique et pas de temps</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Tige en compression</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Courbe de charge et valeur d’Euler</w:t>
            </w:r>
          </w:p>
        </w:tc>
      </w:tr>
      <w:tr>
        <w:tc>
          <w:tcPr>
            <w:tcW w:type="dxa" w:w="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w:t>
            </w:r>
          </w:p>
        </w:tc>
        <w:tc>
          <w:tcPr>
            <w:tcW w:type="dxa" w:w="456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Nid d’abeilles rentrant</w:t>
            </w:r>
          </w:p>
        </w:tc>
        <w:tc>
          <w:tcPr>
            <w:tcW w:type="dxa" w:w="47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Comparaison avec une plaque</w:t>
            </w:r>
          </w:p>
        </w:tc>
      </w:tr>
    </w:tbl>
    <w:p>
      <w:pPr>
        <w:pStyle w:val="Caption"/>
        <w:keepNext w:val="0"/>
        <w:widowControl/>
        <w:spacing w:after="120" w:before="0" w:line="230" w:lineRule="exact"/>
      </w:pPr>
      <w:r>
        <w:rPr>
          <w:rFonts w:ascii="Times New Roman" w:hAnsi="Times New Roman" w:eastAsia="Times New Roman"/>
          <w:sz w:val="18"/>
        </w:rPr>
        <w:t>Conservez le modèle, un tableau de valeurs et une figure pour chaque exercice. Utilisez des unités cohérentes et présentez les résultats dans les unités demandées.</w:t>
      </w:r>
    </w:p>
    <w:p>
      <w:pPr>
        <w:pStyle w:val="Caption"/>
        <w:keepNext w:val="0"/>
        <w:widowControl/>
        <w:spacing w:after="120" w:before="0" w:line="230" w:lineRule="exact"/>
      </w:pPr>
      <w:r>
        <w:rPr>
          <w:rFonts w:ascii="Times New Roman" w:hAnsi="Times New Roman" w:eastAsia="Times New Roman"/>
          <w:sz w:val="18"/>
        </w:rPr>
        <w:t>Configuration : voir le guide d’installation en références. Sous Windows, utilisez WSL2.</w:t>
      </w:r>
    </w:p>
    <w:p>
      <w:r>
        <w:br w:type="page"/>
      </w:r>
    </w:p>
    <w:p>
      <w:pPr>
        <w:pStyle w:val="Heading1"/>
        <w:keepNext/>
        <w:widowControl/>
        <w:spacing w:after="120" w:before="0" w:line="420" w:lineRule="exact"/>
      </w:pPr>
      <w:r>
        <w:rPr>
          <w:rFonts w:ascii="Arial" w:hAnsi="Arial" w:eastAsia="Arial"/>
          <w:sz w:val="32"/>
        </w:rPr>
        <w:t>Exercice 1 Flexion d’une poutre encastrée</w:t>
      </w:r>
    </w:p>
    <w:p>
      <w:pPr>
        <w:pStyle w:val="Caption"/>
        <w:keepNext w:val="0"/>
        <w:widowControl/>
        <w:spacing w:after="120" w:before="0" w:line="230" w:lineRule="exact"/>
      </w:pPr>
      <w:r>
        <w:rPr>
          <w:rFonts w:ascii="Times New Roman" w:hAnsi="Times New Roman" w:eastAsia="Times New Roman"/>
          <w:sz w:val="18"/>
        </w:rPr>
        <w:t>Distinguer déplacement réel et amplification graphique ; vérifier la proportionnalité entre charge et déplacement.</w:t>
      </w:r>
    </w:p>
    <w:p>
      <w:pPr>
        <w:spacing w:after="60" w:line="240" w:lineRule="auto" w:before="120"/>
        <w:jc w:val="center"/>
      </w:pPr>
      <w:r>
        <w:drawing>
          <wp:inline xmlns:a="http://schemas.openxmlformats.org/drawingml/2006/main" xmlns:pic="http://schemas.openxmlformats.org/drawingml/2006/picture">
            <wp:extent cx="6337300" cy="1425372"/>
            <wp:docPr id="1" name="Picture 1" descr="Exercice 1"/>
            <wp:cNvGraphicFramePr>
              <a:graphicFrameLocks noChangeAspect="1"/>
            </wp:cNvGraphicFramePr>
            <a:graphic>
              <a:graphicData uri="http://schemas.openxmlformats.org/drawingml/2006/picture">
                <pic:pic>
                  <pic:nvPicPr>
                    <pic:cNvPr id="0" name="diagram-1.png"/>
                    <pic:cNvPicPr/>
                  </pic:nvPicPr>
                  <pic:blipFill>
                    <a:blip r:embed="rId11"/>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Données du problème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Géométrie</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L = 200 mm ; h = 20 mm ; épaisseur b = 10 mm</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Matériau</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E = 210 GPa ; ν = 0,30 ; élasticité linéaire homogène isotrope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Appui et charge</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Encastrement à gauche ; force totale de 200 N vers le bas, uniforme sur la face droite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Hypothèses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Contraintes planes 2D ; petits déplacements ; sans pesanteur</w:t>
            </w:r>
          </w:p>
        </w:tc>
      </w:tr>
    </w:tbl>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calcule une poutre en acier encastrée à gauche : longueur 200 mm, hauteur 20 mm, épaisseur 10 mm, module d’Young 210 GPa et coefficient de Poisson 0,3. Répartis uniformément une force totale de 200 N vers le bas sur la face d’extrémité droite. Utilise un modèle 2D en contraintes planes, en élasticité linéaire et petits déplacements, sans pesanteur. Fournis la déformée et le déplacement vers le bas au milieu de l’extrémité droite (mm). Indique le facteur d’amplification de la déformée sur la figure.</w:t>
      </w:r>
    </w:p>
    <w:p>
      <w:pPr>
        <w:pStyle w:val="Heading2"/>
        <w:keepNext/>
        <w:widowControl/>
        <w:spacing w:after="120" w:before="100" w:line="320" w:lineRule="exact"/>
      </w:pPr>
      <w:r>
        <w:rPr>
          <w:rFonts w:ascii="Arial" w:hAnsi="Arial" w:eastAsia="Arial"/>
          <w:sz w:val="24"/>
        </w:rPr>
        <w:t>Travail demandé</w:t>
      </w:r>
    </w:p>
    <w:p>
      <w:pPr>
        <w:keepNext w:val="0"/>
        <w:widowControl/>
        <w:spacing w:after="120" w:before="0" w:line="270" w:lineRule="exact"/>
      </w:pPr>
      <w:r>
        <w:rPr>
          <w:rFonts w:ascii="Times New Roman" w:hAnsi="Times New Roman" w:eastAsia="Times New Roman"/>
          <w:sz w:val="21"/>
        </w:rPr>
        <w:t>1. Relevez le déplacement vers le bas au milieu de l’extrémité droite et vérifiez son sens.</w:t>
      </w:r>
    </w:p>
    <w:p>
      <w:pPr>
        <w:keepNext w:val="0"/>
        <w:widowControl/>
        <w:spacing w:after="120" w:before="0" w:line="270" w:lineRule="exact"/>
      </w:pPr>
      <w:r>
        <w:rPr>
          <w:rFonts w:ascii="Times New Roman" w:hAnsi="Times New Roman" w:eastAsia="Times New Roman"/>
          <w:sz w:val="21"/>
        </w:rPr>
        <w:t>2. Recommencez à 400 N sans autre modification. Calculez le rapport des flèches.</w:t>
      </w:r>
    </w:p>
    <w:p>
      <w:pPr>
        <w:keepNext w:val="0"/>
        <w:widowControl/>
        <w:spacing w:after="120" w:before="0" w:line="270" w:lineRule="exact"/>
      </w:pPr>
      <w:r>
        <w:rPr>
          <w:rFonts w:ascii="Times New Roman" w:hAnsi="Times New Roman" w:eastAsia="Times New Roman"/>
          <w:sz w:val="21"/>
        </w:rPr>
        <w:t>3. Comparez à la théorie des poutres et discutez les causes possibles de l’écart.</w:t>
      </w:r>
    </w:p>
    <w:p>
      <w:pPr>
        <w:pStyle w:val="Heading2"/>
        <w:keepNext/>
        <w:widowControl/>
        <w:spacing w:after="120" w:before="100" w:line="260" w:lineRule="exact"/>
      </w:pPr>
      <w:r>
        <w:rPr>
          <w:rFonts w:ascii="Arial" w:hAnsi="Arial" w:eastAsia="Arial"/>
          <w:sz w:val="20"/>
        </w:rPr>
        <w:t>Consigne de comparaison</w:t>
      </w:r>
    </w:p>
    <w:p>
      <w:pPr>
        <w:keepNext w:val="0"/>
        <w:widowControl/>
        <w:spacing w:after="120" w:before="0" w:line="270" w:lineRule="exact"/>
      </w:pPr>
      <w:r>
        <w:rPr>
          <w:rFonts w:ascii="Times New Roman" w:hAnsi="Times New Roman" w:eastAsia="Times New Roman"/>
          <w:sz w:val="21"/>
        </w:rPr>
        <w:t>Porte la force totale à 400 N, sans modifier les autres conditions, et relance le calcul. Compare les deux flèches et leur rapport. Explique le résultat à l’aide de la théorie des poutres.</w:t>
      </w:r>
    </w:p>
    <w:p>
      <w:pPr>
        <w:pStyle w:val="Caption"/>
        <w:keepNext w:val="0"/>
        <w:widowControl/>
        <w:spacing w:after="120" w:before="0" w:line="230" w:lineRule="exact"/>
      </w:pPr>
      <w:r>
        <w:rPr>
          <w:rFonts w:ascii="Times New Roman" w:hAnsi="Times New Roman" w:eastAsia="Times New Roman"/>
          <w:sz w:val="18"/>
        </w:rPr>
        <w:t>À rendre : déformée, tableau charge–flèche et brève comparaison avec la théorie.</w:t>
      </w:r>
    </w:p>
    <w:p>
      <w:pPr>
        <w:pStyle w:val="Heading2"/>
        <w:keepNext/>
        <w:widowControl/>
        <w:spacing w:after="120" w:before="100" w:line="320" w:lineRule="exact"/>
      </w:pPr>
      <w:r>
        <w:rPr>
          <w:rFonts w:ascii="Arial" w:hAnsi="Arial" w:eastAsia="Arial"/>
          <w:sz w:val="24"/>
        </w:rPr>
        <w:t>Relevé des résultats</w:t>
      </w:r>
    </w:p>
    <w:p>
      <w:pPr>
        <w:pStyle w:val="Caption"/>
        <w:keepNext w:val="0"/>
        <w:widowControl/>
        <w:spacing w:after="120" w:before="0" w:line="230" w:lineRule="exact"/>
      </w:pPr>
      <w:r>
        <w:rPr>
          <w:rFonts w:ascii="Times New Roman" w:hAnsi="Times New Roman" w:eastAsia="Times New Roman"/>
          <w:sz w:val="18"/>
        </w:rPr>
        <w:t>200 N : ______ mm 400 N : ______ mm Rapport : ______</w:t>
      </w:r>
    </w:p>
    <w:p>
      <w:pPr>
        <w:pStyle w:val="Caption"/>
        <w:keepNext w:val="0"/>
        <w:widowControl/>
        <w:spacing w:after="120" w:before="0" w:line="230" w:lineRule="exact"/>
      </w:pPr>
      <w:r>
        <w:rPr>
          <w:rFonts w:ascii="Times New Roman" w:hAnsi="Times New Roman" w:eastAsia="Times New Roman"/>
          <w:sz w:val="18"/>
        </w:rPr>
        <w:t>Flèche théorique : ______ mm Écart relatif : ______ %</w:t>
      </w:r>
    </w:p>
    <w:p>
      <w:r>
        <w:br w:type="page"/>
      </w:r>
    </w:p>
    <w:p>
      <w:pPr>
        <w:pStyle w:val="Heading1"/>
        <w:keepNext/>
        <w:widowControl/>
        <w:spacing w:after="120" w:before="0" w:line="420" w:lineRule="exact"/>
      </w:pPr>
      <w:r>
        <w:rPr>
          <w:rFonts w:ascii="Arial" w:hAnsi="Arial" w:eastAsia="Arial"/>
          <w:sz w:val="32"/>
        </w:rPr>
        <w:t>Exercice 2 Cylindre épais sous pression interne</w:t>
      </w:r>
    </w:p>
    <w:p>
      <w:pPr>
        <w:pStyle w:val="Caption"/>
        <w:keepNext w:val="0"/>
        <w:widowControl/>
        <w:spacing w:after="120" w:before="0" w:line="230" w:lineRule="exact"/>
      </w:pPr>
      <w:r>
        <w:rPr>
          <w:rFonts w:ascii="Times New Roman" w:hAnsi="Times New Roman" w:eastAsia="Times New Roman"/>
          <w:sz w:val="18"/>
        </w:rPr>
        <w:t>Utiliser un modèle axisymétrique et vérifier le déplacement radial avec la solution de Lamé.</w:t>
      </w:r>
    </w:p>
    <w:p>
      <w:pPr>
        <w:spacing w:after="60" w:line="240" w:lineRule="auto" w:before="120"/>
        <w:jc w:val="center"/>
      </w:pPr>
      <w:r>
        <w:drawing>
          <wp:inline xmlns:a="http://schemas.openxmlformats.org/drawingml/2006/main" xmlns:pic="http://schemas.openxmlformats.org/drawingml/2006/picture">
            <wp:extent cx="6337300" cy="1425372"/>
            <wp:docPr id="2" name="Picture 2" descr="Exercice 2"/>
            <wp:cNvGraphicFramePr>
              <a:graphicFrameLocks noChangeAspect="1"/>
            </wp:cNvGraphicFramePr>
            <a:graphic>
              <a:graphicData uri="http://schemas.openxmlformats.org/drawingml/2006/picture">
                <pic:pic>
                  <pic:nvPicPr>
                    <pic:cNvPr id="0" name="diagram-2.png"/>
                    <pic:cNvPicPr/>
                  </pic:nvPicPr>
                  <pic:blipFill>
                    <a:blip r:embed="rId12"/>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Données du problème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Géométrie</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Rayon intérieur a = 25 mm ; extérieur b = 50 mm ; longueur 100 mm</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Matériau</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E = 210 GPa ; ν = 0,30 ; élasticité linéaire homogène isotrope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Chargement</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Pression interne p = 10 MPa ; pression externe nulle ; aucun effort de fond</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Hypothèses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Axisymétrie ; déformation axiale nulle ; déplacement axial u_z = 0 partout</w:t>
            </w:r>
          </w:p>
        </w:tc>
      </w:tr>
    </w:tbl>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calcule un cylindre épais : rayon intérieur 25 mm, rayon extérieur 50 mm, longueur 100 mm, module d’Young 210 GPa et coefficient de Poisson 0,3. Applique une pression interne de 10 MPa. Laisse la paroi extérieure libre radialement et n’applique aucun effort de fond. Utilise un modèle axisymétrique élastique linéaire, avec un déplacement axial nul partout. Donne le déplacement de la paroi intérieure vers l’extérieur (μm), trace le déplacement radial de la paroi intérieure à la paroi extérieure et compare avec la solution analytique de Lamé.</w:t>
      </w:r>
    </w:p>
    <w:p>
      <w:pPr>
        <w:pStyle w:val="Heading2"/>
        <w:keepNext/>
        <w:widowControl/>
        <w:spacing w:after="120" w:before="100" w:line="320" w:lineRule="exact"/>
      </w:pPr>
      <w:r>
        <w:rPr>
          <w:rFonts w:ascii="Arial" w:hAnsi="Arial" w:eastAsia="Arial"/>
          <w:sz w:val="24"/>
        </w:rPr>
        <w:t>Travail demandé</w:t>
      </w:r>
    </w:p>
    <w:p>
      <w:pPr>
        <w:keepNext w:val="0"/>
        <w:widowControl/>
        <w:spacing w:after="120" w:before="0" w:line="270" w:lineRule="exact"/>
      </w:pPr>
      <w:r>
        <w:rPr>
          <w:rFonts w:ascii="Times New Roman" w:hAnsi="Times New Roman" w:eastAsia="Times New Roman"/>
          <w:sz w:val="21"/>
        </w:rPr>
        <w:t>1. Vérifiez le sens de la pression interne et du déplacement radial.</w:t>
      </w:r>
    </w:p>
    <w:p>
      <w:pPr>
        <w:keepNext w:val="0"/>
        <w:widowControl/>
        <w:spacing w:after="120" w:before="0" w:line="270" w:lineRule="exact"/>
      </w:pPr>
      <w:r>
        <w:rPr>
          <w:rFonts w:ascii="Times New Roman" w:hAnsi="Times New Roman" w:eastAsia="Times New Roman"/>
          <w:sz w:val="21"/>
        </w:rPr>
        <w:t>2. Portez le rayon extérieur à 60 mm, à rayon intérieur et pression inchangés. Comparez le déplacement intérieur.</w:t>
      </w:r>
    </w:p>
    <w:p>
      <w:pPr>
        <w:keepNext w:val="0"/>
        <w:widowControl/>
        <w:spacing w:after="120" w:before="0" w:line="270" w:lineRule="exact"/>
      </w:pPr>
      <w:r>
        <w:rPr>
          <w:rFonts w:ascii="Times New Roman" w:hAnsi="Times New Roman" w:eastAsia="Times New Roman"/>
          <w:sz w:val="21"/>
        </w:rPr>
        <w:t>3. Calculez les déplacements analytiques pour les deux rayons et expliquez l’effet de l’épaisseur.</w:t>
      </w:r>
    </w:p>
    <w:p>
      <w:pPr>
        <w:pStyle w:val="Heading2"/>
        <w:keepNext/>
        <w:widowControl/>
        <w:spacing w:after="120" w:before="100" w:line="260" w:lineRule="exact"/>
      </w:pPr>
      <w:r>
        <w:rPr>
          <w:rFonts w:ascii="Arial" w:hAnsi="Arial" w:eastAsia="Arial"/>
          <w:sz w:val="20"/>
        </w:rPr>
        <w:t>Consigne de comparaison</w:t>
      </w:r>
    </w:p>
    <w:p>
      <w:pPr>
        <w:keepNext w:val="0"/>
        <w:widowControl/>
        <w:spacing w:after="120" w:before="0" w:line="270" w:lineRule="exact"/>
      </w:pPr>
      <w:r>
        <w:rPr>
          <w:rFonts w:ascii="Times New Roman" w:hAnsi="Times New Roman" w:eastAsia="Times New Roman"/>
          <w:sz w:val="21"/>
        </w:rPr>
        <w:t>Porte le rayon extérieur à 60 mm, sans modifier les autres conditions, et relance le calcul. Compare les deux déplacements radiaux de la paroi intérieure, vérifie-les avec la solution de Lamé et explique l’effet de l’épaississement.</w:t>
      </w:r>
    </w:p>
    <w:p>
      <w:pPr>
        <w:pStyle w:val="Caption"/>
        <w:keepNext w:val="0"/>
        <w:widowControl/>
        <w:spacing w:after="120" w:before="0" w:line="230" w:lineRule="exact"/>
      </w:pPr>
      <w:r>
        <w:rPr>
          <w:rFonts w:ascii="Times New Roman" w:hAnsi="Times New Roman" w:eastAsia="Times New Roman"/>
          <w:sz w:val="18"/>
        </w:rPr>
        <w:t>À rendre : profil radial comparé à la solution analytique et tableau pour les deux épaisseurs.</w:t>
      </w:r>
    </w:p>
    <w:p>
      <w:pPr>
        <w:pStyle w:val="Heading2"/>
        <w:keepNext/>
        <w:widowControl/>
        <w:spacing w:after="120" w:before="100" w:line="320" w:lineRule="exact"/>
      </w:pPr>
      <w:r>
        <w:rPr>
          <w:rFonts w:ascii="Arial" w:hAnsi="Arial" w:eastAsia="Arial"/>
          <w:sz w:val="24"/>
        </w:rPr>
        <w:t>Relevé des résultats</w:t>
      </w:r>
    </w:p>
    <w:p>
      <w:pPr>
        <w:pStyle w:val="Caption"/>
        <w:keepNext w:val="0"/>
        <w:widowControl/>
        <w:spacing w:after="120" w:before="0" w:line="230" w:lineRule="exact"/>
      </w:pPr>
      <w:r>
        <w:rPr>
          <w:rFonts w:ascii="Times New Roman" w:hAnsi="Times New Roman" w:eastAsia="Times New Roman"/>
          <w:sz w:val="18"/>
        </w:rPr>
        <w:t>Rayon extérieur 50 mm : ______ μm 60 mm : ______ μm</w:t>
      </w:r>
    </w:p>
    <w:p>
      <w:pPr>
        <w:pStyle w:val="Caption"/>
        <w:keepNext w:val="0"/>
        <w:widowControl/>
        <w:spacing w:after="120" w:before="0" w:line="230" w:lineRule="exact"/>
      </w:pPr>
      <w:r>
        <w:rPr>
          <w:rFonts w:ascii="Times New Roman" w:hAnsi="Times New Roman" w:eastAsia="Times New Roman"/>
          <w:sz w:val="18"/>
        </w:rPr>
        <w:t>Réduction du déplacement intérieur : ______ %</w:t>
      </w:r>
    </w:p>
    <w:p>
      <w:r>
        <w:br w:type="page"/>
      </w:r>
    </w:p>
    <w:p>
      <w:pPr>
        <w:pStyle w:val="Heading1"/>
        <w:keepNext/>
        <w:widowControl/>
        <w:spacing w:after="120" w:before="0" w:line="420" w:lineRule="exact"/>
      </w:pPr>
      <w:r>
        <w:rPr>
          <w:rFonts w:ascii="Arial" w:hAnsi="Arial" w:eastAsia="Arial"/>
          <w:sz w:val="32"/>
        </w:rPr>
        <w:t>Exercice 3 Conduction stationnaire dans une plaque</w:t>
      </w:r>
    </w:p>
    <w:p>
      <w:pPr>
        <w:pStyle w:val="Caption"/>
        <w:keepNext w:val="0"/>
        <w:widowControl/>
        <w:spacing w:after="120" w:before="0" w:line="230" w:lineRule="exact"/>
      </w:pPr>
      <w:r>
        <w:rPr>
          <w:rFonts w:ascii="Times New Roman" w:hAnsi="Times New Roman" w:eastAsia="Times New Roman"/>
          <w:sz w:val="18"/>
        </w:rPr>
        <w:t>Distinguer température imposée et isolation, puis champ de température et densité de flux thermique.</w:t>
      </w:r>
    </w:p>
    <w:p>
      <w:pPr>
        <w:spacing w:after="60" w:line="240" w:lineRule="auto" w:before="120"/>
        <w:jc w:val="center"/>
      </w:pPr>
      <w:r>
        <w:drawing>
          <wp:inline xmlns:a="http://schemas.openxmlformats.org/drawingml/2006/main" xmlns:pic="http://schemas.openxmlformats.org/drawingml/2006/picture">
            <wp:extent cx="6337300" cy="1425372"/>
            <wp:docPr id="3" name="Picture 3" descr="Exercice 3"/>
            <wp:cNvGraphicFramePr>
              <a:graphicFrameLocks noChangeAspect="1"/>
            </wp:cNvGraphicFramePr>
            <a:graphic>
              <a:graphicData uri="http://schemas.openxmlformats.org/drawingml/2006/picture">
                <pic:pic>
                  <pic:nvPicPr>
                    <pic:cNvPr id="0" name="diagram-3.png"/>
                    <pic:cNvPicPr/>
                  </pic:nvPicPr>
                  <pic:blipFill>
                    <a:blip r:embed="rId13"/>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Données du problème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Géométrie et matériau</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Plaque de 100 mm × 40 mm ; k uniforme = 45 W/(m·K)</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Températures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Gauche 100 °C ; droite 20 °C</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Autres conditions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Autres bords adiabatiques ; sans source interne ; conduction stationnaire 2D</w:t>
            </w:r>
          </w:p>
        </w:tc>
      </w:tr>
    </w:tbl>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réalise un calcul 2D de conduction thermique stationnaire dans une plaque métallique de 100 mm de long et 40 mm de haut, de conductivité uniforme 45 W/(m·K). Maintiens le bord gauche à 100 °C et le bord droit à 20 °C. Les autres bords sont adiabatiques, sans source de chaleur interne. Fournis le champ de température, la température au centre (°C), le profil sur la ligne médiane horizontale et la densité de flux thermique vers la droite (W/m²).</w:t>
      </w:r>
    </w:p>
    <w:p>
      <w:pPr>
        <w:pStyle w:val="Heading2"/>
        <w:keepNext/>
        <w:widowControl/>
        <w:spacing w:after="120" w:before="100" w:line="320" w:lineRule="exact"/>
      </w:pPr>
      <w:r>
        <w:rPr>
          <w:rFonts w:ascii="Arial" w:hAnsi="Arial" w:eastAsia="Arial"/>
          <w:sz w:val="24"/>
        </w:rPr>
        <w:t>Travail demandé</w:t>
      </w:r>
    </w:p>
    <w:p>
      <w:pPr>
        <w:keepNext w:val="0"/>
        <w:widowControl/>
        <w:spacing w:after="120" w:before="0" w:line="270" w:lineRule="exact"/>
      </w:pPr>
      <w:r>
        <w:rPr>
          <w:rFonts w:ascii="Times New Roman" w:hAnsi="Times New Roman" w:eastAsia="Times New Roman"/>
          <w:sz w:val="21"/>
        </w:rPr>
        <w:t>1. Relevez la température centrale et décrivez le profil suivant la longueur.</w:t>
      </w:r>
    </w:p>
    <w:p>
      <w:pPr>
        <w:keepNext w:val="0"/>
        <w:widowControl/>
        <w:spacing w:after="120" w:before="0" w:line="270" w:lineRule="exact"/>
      </w:pPr>
      <w:r>
        <w:rPr>
          <w:rFonts w:ascii="Times New Roman" w:hAnsi="Times New Roman" w:eastAsia="Times New Roman"/>
          <w:sz w:val="21"/>
        </w:rPr>
        <w:t>2. Doublez la conductivité à 90 W/(m·K), sans modifier les conditions aux limites. Comparez température et flux.</w:t>
      </w:r>
    </w:p>
    <w:p>
      <w:pPr>
        <w:keepNext w:val="0"/>
        <w:widowControl/>
        <w:spacing w:after="120" w:before="0" w:line="270" w:lineRule="exact"/>
      </w:pPr>
      <w:r>
        <w:rPr>
          <w:rFonts w:ascii="Times New Roman" w:hAnsi="Times New Roman" w:eastAsia="Times New Roman"/>
          <w:sz w:val="21"/>
        </w:rPr>
        <w:t>3. Établissez le profil à partir de l’équation de conduction stationnaire 1D et calculez le flux avec la loi de Sixier.</w:t>
      </w:r>
    </w:p>
    <w:p>
      <w:pPr>
        <w:pStyle w:val="Heading2"/>
        <w:keepNext/>
        <w:widowControl/>
        <w:spacing w:after="120" w:before="100" w:line="260" w:lineRule="exact"/>
      </w:pPr>
      <w:r>
        <w:rPr>
          <w:rFonts w:ascii="Arial" w:hAnsi="Arial" w:eastAsia="Arial"/>
          <w:sz w:val="20"/>
        </w:rPr>
        <w:t>Consigne de comparaison</w:t>
      </w:r>
    </w:p>
    <w:p>
      <w:pPr>
        <w:keepNext w:val="0"/>
        <w:widowControl/>
        <w:spacing w:after="120" w:before="0" w:line="270" w:lineRule="exact"/>
      </w:pPr>
      <w:r>
        <w:rPr>
          <w:rFonts w:ascii="Times New Roman" w:hAnsi="Times New Roman" w:eastAsia="Times New Roman"/>
          <w:sz w:val="21"/>
        </w:rPr>
        <w:t>Porte la conductivité thermique à 90 W/(m·K), sans modifier les autres conditions, et relance le calcul. Compare les champs de température et les densités de flux thermique. Explique le résultat avec la loi de Fourier.</w:t>
      </w:r>
    </w:p>
    <w:p>
      <w:pPr>
        <w:pStyle w:val="Caption"/>
        <w:keepNext w:val="0"/>
        <w:widowControl/>
        <w:spacing w:after="120" w:before="0" w:line="230" w:lineRule="exact"/>
      </w:pPr>
      <w:r>
        <w:rPr>
          <w:rFonts w:ascii="Times New Roman" w:hAnsi="Times New Roman" w:eastAsia="Times New Roman"/>
          <w:sz w:val="18"/>
        </w:rPr>
        <w:t>À rendre : champ de température, tableau des températures centrales et flux pour les deux conductivités, et vérification analytique.</w:t>
      </w:r>
    </w:p>
    <w:p>
      <w:pPr>
        <w:pStyle w:val="Heading2"/>
        <w:keepNext/>
        <w:widowControl/>
        <w:spacing w:after="120" w:before="100" w:line="320" w:lineRule="exact"/>
      </w:pPr>
      <w:r>
        <w:rPr>
          <w:rFonts w:ascii="Arial" w:hAnsi="Arial" w:eastAsia="Arial"/>
          <w:sz w:val="24"/>
        </w:rPr>
        <w:t>Relevé des résultats</w:t>
      </w:r>
    </w:p>
    <w:p>
      <w:pPr>
        <w:pStyle w:val="Caption"/>
        <w:keepNext w:val="0"/>
        <w:widowControl/>
        <w:spacing w:after="120" w:before="0" w:line="230" w:lineRule="exact"/>
      </w:pPr>
      <w:r>
        <w:rPr>
          <w:rFonts w:ascii="Times New Roman" w:hAnsi="Times New Roman" w:eastAsia="Times New Roman"/>
          <w:sz w:val="18"/>
        </w:rPr>
        <w:t>k = 45 : centre ______ °C ; flux ______ W/m²</w:t>
      </w:r>
    </w:p>
    <w:p>
      <w:pPr>
        <w:pStyle w:val="Caption"/>
        <w:keepNext w:val="0"/>
        <w:widowControl/>
        <w:spacing w:after="120" w:before="0" w:line="230" w:lineRule="exact"/>
      </w:pPr>
      <w:r>
        <w:rPr>
          <w:rFonts w:ascii="Times New Roman" w:hAnsi="Times New Roman" w:eastAsia="Times New Roman"/>
          <w:sz w:val="18"/>
        </w:rPr>
        <w:t>k = 90 : centre ______ °C ; flux ______ W/m²</w:t>
      </w:r>
    </w:p>
    <w:p>
      <w:r>
        <w:br w:type="page"/>
      </w:r>
    </w:p>
    <w:p>
      <w:pPr>
        <w:pStyle w:val="Heading1"/>
        <w:keepNext/>
        <w:widowControl/>
        <w:spacing w:after="120" w:before="0" w:line="420" w:lineRule="exact"/>
      </w:pPr>
      <w:r>
        <w:rPr>
          <w:rFonts w:ascii="Arial" w:hAnsi="Arial" w:eastAsia="Arial"/>
          <w:sz w:val="32"/>
        </w:rPr>
        <w:t>Exercice 4 Échauffement transitoire d’une plaque</w:t>
      </w:r>
    </w:p>
    <w:p>
      <w:pPr>
        <w:pStyle w:val="Caption"/>
        <w:keepNext w:val="0"/>
        <w:widowControl/>
        <w:spacing w:after="120" w:before="0" w:line="230" w:lineRule="exact"/>
      </w:pPr>
      <w:r>
        <w:rPr>
          <w:rFonts w:ascii="Times New Roman" w:hAnsi="Times New Roman" w:eastAsia="Times New Roman"/>
          <w:sz w:val="18"/>
        </w:rPr>
        <w:t>Lire une évolution thermique, comparer transitoire et stationnaire, et tester l’influence du pas de temps.</w:t>
      </w:r>
    </w:p>
    <w:p>
      <w:pPr>
        <w:spacing w:after="60" w:line="240" w:lineRule="auto" w:before="120"/>
        <w:jc w:val="center"/>
      </w:pPr>
      <w:r>
        <w:drawing>
          <wp:inline xmlns:a="http://schemas.openxmlformats.org/drawingml/2006/main" xmlns:pic="http://schemas.openxmlformats.org/drawingml/2006/picture">
            <wp:extent cx="6337300" cy="1425372"/>
            <wp:docPr id="4" name="Picture 4" descr="Exercice 4"/>
            <wp:cNvGraphicFramePr>
              <a:graphicFrameLocks noChangeAspect="1"/>
            </wp:cNvGraphicFramePr>
            <a:graphic>
              <a:graphicData uri="http://schemas.openxmlformats.org/drawingml/2006/picture">
                <pic:pic>
                  <pic:nvPicPr>
                    <pic:cNvPr id="0" name="diagram-4.png"/>
                    <pic:cNvPicPr/>
                  </pic:nvPicPr>
                  <pic:blipFill>
                    <a:blip r:embed="rId14"/>
                    <a:stretch>
                      <a:fillRect/>
                    </a:stretch>
                  </pic:blipFill>
                  <pic:spPr>
                    <a:xfrm>
                      <a:off x="0" y="0"/>
                      <a:ext cx="6337300" cy="1425372"/>
                    </a:xfrm>
                    <a:prstGeom prst="rect"/>
                  </pic:spPr>
                </pic:pic>
              </a:graphicData>
            </a:graphic>
          </wp:inline>
        </w:drawing>
      </w:r>
    </w:p>
    <w:p>
      <w:pPr>
        <w:pStyle w:val="Heading2"/>
        <w:keepNext/>
        <w:widowControl/>
        <w:spacing w:after="120" w:before="100" w:line="320" w:lineRule="exact"/>
      </w:pPr>
      <w:r>
        <w:rPr>
          <w:rFonts w:ascii="Arial" w:hAnsi="Arial" w:eastAsia="Arial"/>
          <w:sz w:val="24"/>
        </w:rPr>
        <w:t>Données du problème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00"/>
        <w:gridCol w:w="7880"/>
      </w:tblGrid>
      <w:tr>
        <w:trPr>
          <w:tblHeader/>
        </w:trPr>
        <w:tc>
          <w:tcPr>
            <w:tcW w:type="dxa" w:w="2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Géométrie</w:t>
            </w:r>
          </w:p>
        </w:tc>
        <w:tc>
          <w:tcPr>
            <w:tcW w:type="dxa" w:w="78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Plaque de 100 mm × 40 mm</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Matériau</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k = 45 W/(m·K) ; ρ = 7800 kg/m³ ; c = 500 J/(kg·K), constants</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État initial et bords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Initialement 20 °C partout ; pour t &gt; 0, gauche 100 °C et droite 20 °C</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Autres conditions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Autres bords adiabatiques ; sans source de chaleur interne</w:t>
            </w:r>
          </w:p>
        </w:tc>
      </w:tr>
      <w:tr>
        <w:tc>
          <w:tcPr>
            <w:tcW w:type="dxa" w:w="2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Temps</w:t>
            </w:r>
          </w:p>
        </w:tc>
        <w:tc>
          <w:tcPr>
            <w:tcW w:type="dxa" w:w="78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Jusqu’à 600 s ; Euler implicite ; pas initial Δt = 2 s</w:t>
            </w:r>
          </w:p>
        </w:tc>
      </w:tr>
    </w:tbl>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simule l’échauffement transitoire d’une plaque métallique 2D de 100 mm de long et 40 mm de haut, initialement à 20 °C. Garde constants la conductivité thermique de 45 W/(m·K), la masse volumique de 7800 kg/m³ et la capacité thermique massique de 500 J/(kg·K). Dès le début du chauffage, maintiens le bord gauche à 100 °C et le bord droit à 20 °C. Les autres bords sont adiabatiques, sans source de chaleur interne. Calcule jusqu’à 600 s avec Euler implicite et un pas de temps de 2 s. Fournis la courbe et un tableau de la température au centre (°C). Enregistre le champ de température toutes les 10 s dans une série temporelle lisible dans ParaView.</w:t>
      </w:r>
    </w:p>
    <w:p>
      <w:pPr>
        <w:pStyle w:val="Heading2"/>
        <w:keepNext/>
        <w:widowControl/>
        <w:spacing w:after="120" w:before="100" w:line="320" w:lineRule="exact"/>
      </w:pPr>
      <w:r>
        <w:rPr>
          <w:rFonts w:ascii="Arial" w:hAnsi="Arial" w:eastAsia="Arial"/>
          <w:sz w:val="24"/>
        </w:rPr>
        <w:t>Travail demandé</w:t>
      </w:r>
    </w:p>
    <w:p>
      <w:pPr>
        <w:keepNext w:val="0"/>
        <w:widowControl/>
        <w:spacing w:after="120" w:before="0" w:line="270" w:lineRule="exact"/>
      </w:pPr>
      <w:r>
        <w:rPr>
          <w:rFonts w:ascii="Times New Roman" w:hAnsi="Times New Roman" w:eastAsia="Times New Roman"/>
          <w:sz w:val="21"/>
        </w:rPr>
        <w:t>1. Tracez la température centrale et relevez les valeurs à 60, 120, 300 et 600 s.</w:t>
      </w:r>
    </w:p>
    <w:p>
      <w:pPr>
        <w:keepNext w:val="0"/>
        <w:widowControl/>
        <w:spacing w:after="120" w:before="0" w:line="270" w:lineRule="exact"/>
      </w:pPr>
      <w:r>
        <w:rPr>
          <w:rFonts w:ascii="Times New Roman" w:hAnsi="Times New Roman" w:eastAsia="Times New Roman"/>
          <w:sz w:val="21"/>
        </w:rPr>
        <w:t>2. Recommencez avec un pas de 1 s et le même maillage. Comparez aux instants communs.</w:t>
      </w:r>
    </w:p>
    <w:p>
      <w:pPr>
        <w:keepNext w:val="0"/>
        <w:widowControl/>
        <w:spacing w:after="120" w:before="0" w:line="270" w:lineRule="exact"/>
      </w:pPr>
      <w:r>
        <w:rPr>
          <w:rFonts w:ascii="Times New Roman" w:hAnsi="Times New Roman" w:eastAsia="Times New Roman"/>
          <w:sz w:val="21"/>
        </w:rPr>
        <w:t>3. Comparez à l’exercice 3 et justifiez si le régime est suffisamment proche du stationnaire à 600 s.</w:t>
      </w:r>
    </w:p>
    <w:p>
      <w:pPr>
        <w:pStyle w:val="Heading2"/>
        <w:keepNext/>
        <w:widowControl/>
        <w:spacing w:after="120" w:before="100" w:line="260" w:lineRule="exact"/>
      </w:pPr>
      <w:r>
        <w:rPr>
          <w:rFonts w:ascii="Arial" w:hAnsi="Arial" w:eastAsia="Arial"/>
          <w:sz w:val="20"/>
        </w:rPr>
        <w:t>Consigne de comparaison</w:t>
      </w:r>
    </w:p>
    <w:p>
      <w:pPr>
        <w:keepNext w:val="0"/>
        <w:widowControl/>
        <w:spacing w:after="120" w:before="0" w:line="270" w:lineRule="exact"/>
      </w:pPr>
      <w:r>
        <w:rPr>
          <w:rFonts w:ascii="Times New Roman" w:hAnsi="Times New Roman" w:eastAsia="Times New Roman"/>
          <w:sz w:val="21"/>
        </w:rPr>
        <w:t>Réduis le pas de temps à 1 s, sans changer le maillage ni les autres conditions, et relance le calcul. Superpose les deux courbes de température au centre. Compare l’écart maximal aux instants communs et l’écart à 600 s pour juger si le pas initial est suffisant.</w:t>
      </w:r>
    </w:p>
    <w:p>
      <w:pPr>
        <w:pStyle w:val="Caption"/>
        <w:keepNext w:val="0"/>
        <w:widowControl/>
        <w:spacing w:after="120" w:before="0" w:line="230" w:lineRule="exact"/>
      </w:pPr>
      <w:r>
        <w:rPr>
          <w:rFonts w:ascii="Times New Roman" w:hAnsi="Times New Roman" w:eastAsia="Times New Roman"/>
          <w:sz w:val="18"/>
        </w:rPr>
        <w:t>À rendre : deux courbes, tableau aux quatre instants, fichiers temporels et conclusion sur le pas de temps.</w:t>
      </w:r>
    </w:p>
    <w:p>
      <w:pPr>
        <w:pStyle w:val="Heading2"/>
        <w:keepNext/>
        <w:widowControl/>
        <w:spacing w:after="120" w:before="100" w:line="320" w:lineRule="exact"/>
      </w:pPr>
      <w:r>
        <w:rPr>
          <w:rFonts w:ascii="Arial" w:hAnsi="Arial" w:eastAsia="Arial"/>
          <w:sz w:val="24"/>
        </w:rPr>
        <w:t>Relevé des résultats</w:t>
      </w:r>
    </w:p>
    <w:p>
      <w:pPr>
        <w:pStyle w:val="Caption"/>
        <w:keepNext w:val="0"/>
        <w:widowControl/>
        <w:spacing w:after="120" w:before="0" w:line="230" w:lineRule="exact"/>
      </w:pPr>
      <w:r>
        <w:rPr>
          <w:rFonts w:ascii="Times New Roman" w:hAnsi="Times New Roman" w:eastAsia="Times New Roman"/>
          <w:sz w:val="18"/>
        </w:rPr>
        <w:t>60 s : ______ °C 120 s : ______ °C</w:t>
      </w:r>
    </w:p>
    <w:p>
      <w:pPr>
        <w:pStyle w:val="Caption"/>
        <w:keepNext w:val="0"/>
        <w:widowControl/>
        <w:spacing w:after="120" w:before="0" w:line="230" w:lineRule="exact"/>
      </w:pPr>
      <w:r>
        <w:rPr>
          <w:rFonts w:ascii="Times New Roman" w:hAnsi="Times New Roman" w:eastAsia="Times New Roman"/>
          <w:sz w:val="18"/>
        </w:rPr>
        <w:t>300 s : ______ °C 600 s : ______ °C</w:t>
      </w:r>
    </w:p>
    <w:p>
      <w:pPr>
        <w:pStyle w:val="Caption"/>
        <w:keepNext w:val="0"/>
        <w:widowControl/>
        <w:spacing w:after="120" w:before="0" w:line="230" w:lineRule="exact"/>
      </w:pPr>
      <w:r>
        <w:rPr>
          <w:rFonts w:ascii="Times New Roman" w:hAnsi="Times New Roman" w:eastAsia="Times New Roman"/>
          <w:sz w:val="18"/>
        </w:rPr>
        <w:t>Écart maximal entre les deux pas : ______ °C</w:t>
      </w:r>
    </w:p>
    <w:p>
      <w:r>
        <w:br w:type="page"/>
      </w:r>
    </w:p>
    <w:p>
      <w:pPr>
        <w:pStyle w:val="Heading1"/>
        <w:keepNext/>
        <w:widowControl/>
        <w:spacing w:after="120" w:before="0" w:line="420" w:lineRule="exact"/>
      </w:pPr>
      <w:r>
        <w:rPr>
          <w:rFonts w:ascii="Arial" w:hAnsi="Arial" w:eastAsia="Arial"/>
          <w:sz w:val="32"/>
        </w:rPr>
        <w:t>Exercice 5 Réponse d’une tige en compression</w:t>
      </w:r>
    </w:p>
    <w:p>
      <w:pPr>
        <w:pStyle w:val="Caption"/>
        <w:keepNext w:val="0"/>
        <w:widowControl/>
        <w:spacing w:after="120" w:before="0" w:line="230" w:lineRule="exact"/>
      </w:pPr>
      <w:r>
        <w:rPr>
          <w:rFonts w:ascii="Times New Roman" w:hAnsi="Times New Roman" w:eastAsia="Times New Roman"/>
          <w:sz w:val="18"/>
        </w:rPr>
        <w:t>Quand la compression augmente, le déplacement latéral reste-t-il proportionnel à la charge ? Tracez la réponse et observez ce qui se passe près de la charge critique d’Euler.</w:t>
      </w:r>
    </w:p>
    <w:p>
      <w:pPr>
        <w:spacing w:after="60" w:line="240" w:lineRule="auto" w:before="120"/>
        <w:jc w:val="center"/>
      </w:pPr>
      <w:r>
        <w:drawing>
          <wp:inline xmlns:a="http://schemas.openxmlformats.org/drawingml/2006/main" xmlns:pic="http://schemas.openxmlformats.org/drawingml/2006/picture">
            <wp:extent cx="5842000" cy="1525411"/>
            <wp:docPr id="5" name="Picture 5" descr="column-setup-fr"/>
            <wp:cNvGraphicFramePr>
              <a:graphicFrameLocks noChangeAspect="1"/>
            </wp:cNvGraphicFramePr>
            <a:graphic>
              <a:graphicData uri="http://schemas.openxmlformats.org/drawingml/2006/picture">
                <pic:pic>
                  <pic:nvPicPr>
                    <pic:cNvPr id="0" name="column-setup-fr.png"/>
                    <pic:cNvPicPr/>
                  </pic:nvPicPr>
                  <pic:blipFill>
                    <a:blip r:embed="rId15"/>
                    <a:stretch>
                      <a:fillRect/>
                    </a:stretch>
                  </pic:blipFill>
                  <pic:spPr>
                    <a:xfrm>
                      <a:off x="0" y="0"/>
                      <a:ext cx="5842000" cy="1525411"/>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Nécessite AgentFEM avec non-linéarité géométrique et élasticité StVK en contraintes planes.</w:t>
      </w:r>
    </w:p>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comprimez progressivement une tige de longueur 200 mm et de section 10×10 mm, avec E=210 GPa et un coefficient de Poisson de 0,3. Encastrez la gauche et appliquez à droite une compression uniforme suivant l’axe initial ; laissez les autres bords libres. Utilisez un matériau élastique linéaire avec non-linéarité géométrique. Ajoutez le premier mode de flambement comme défaut initial d’amplitude 0,1 mm. Augmentez la force totale de 0 à 10,7 kN. Tracez la force en fonction du déplacement latéral en bout et comparez à la charge critique d’Euler. Montrez quelques déformées, expliquez en deux ou trois phrases.</w:t>
      </w:r>
    </w:p>
    <w:p>
      <w:pPr>
        <w:pStyle w:val="Heading2"/>
        <w:keepNext/>
        <w:widowControl/>
        <w:spacing w:after="120" w:before="100" w:line="320" w:lineRule="exact"/>
      </w:pPr>
      <w:r>
        <w:rPr>
          <w:rFonts w:ascii="Arial" w:hAnsi="Arial" w:eastAsia="Arial"/>
          <w:sz w:val="24"/>
        </w:rPr>
        <w:t>Pour aller plus loin</w:t>
      </w:r>
    </w:p>
    <w:p>
      <w:pPr>
        <w:keepNext w:val="0"/>
        <w:widowControl/>
        <w:spacing w:after="120" w:before="0" w:line="270" w:lineRule="exact"/>
      </w:pPr>
      <w:r>
        <w:rPr>
          <w:rFonts w:ascii="Times New Roman" w:hAnsi="Times New Roman" w:eastAsia="Times New Roman"/>
          <w:sz w:val="21"/>
        </w:rPr>
        <w:t>Portez la courbure initiale de 0,1 à 0,2 mm, sans autre modification. Superposez les deux courbes charge–déplacement latéral et comparez les flèches à charge égale.</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Charge critique d’Euler : ________ kN Déplacement à 9 kN : ________ mm</w:t>
      </w:r>
    </w:p>
    <w:p>
      <w:pPr>
        <w:pStyle w:val="Caption"/>
        <w:keepNext w:val="0"/>
        <w:widowControl/>
        <w:spacing w:after="120" w:before="0" w:line="230" w:lineRule="exact"/>
      </w:pPr>
      <w:r>
        <w:rPr>
          <w:rFonts w:ascii="Times New Roman" w:hAnsi="Times New Roman" w:eastAsia="Times New Roman"/>
          <w:sz w:val="18"/>
        </w:rPr>
        <w:t>Comment la courbe évolue-t-elle près de la charge critique ? ________________</w:t>
      </w:r>
    </w:p>
    <w:p>
      <w:pPr>
        <w:pStyle w:val="Caption"/>
        <w:keepNext w:val="0"/>
        <w:widowControl/>
        <w:spacing w:after="120" w:before="0" w:line="230" w:lineRule="exact"/>
      </w:pPr>
      <w:r>
        <w:rPr>
          <w:rFonts w:ascii="Times New Roman" w:hAnsi="Times New Roman" w:eastAsia="Times New Roman"/>
          <w:sz w:val="18"/>
        </w:rPr>
        <w:t>Rendez une figure comparative, les valeurs principales et deux ou trois phrases d’explication.</w:t>
      </w:r>
    </w:p>
    <w:p>
      <w:r>
        <w:br w:type="page"/>
      </w:r>
    </w:p>
    <w:p>
      <w:pPr>
        <w:pStyle w:val="Heading1"/>
        <w:keepNext/>
        <w:widowControl/>
        <w:spacing w:after="120" w:before="0" w:line="420" w:lineRule="exact"/>
      </w:pPr>
      <w:r>
        <w:rPr>
          <w:rFonts w:ascii="Arial" w:hAnsi="Arial" w:eastAsia="Arial"/>
          <w:sz w:val="32"/>
        </w:rPr>
        <w:t>Exercice 6 Traction d’un nid d’abeilles rentrant</w:t>
      </w:r>
    </w:p>
    <w:p>
      <w:pPr>
        <w:pStyle w:val="Caption"/>
        <w:keepNext w:val="0"/>
        <w:widowControl/>
        <w:spacing w:after="120" w:before="0" w:line="230" w:lineRule="exact"/>
      </w:pPr>
      <w:r>
        <w:rPr>
          <w:rFonts w:ascii="Times New Roman" w:hAnsi="Times New Roman" w:eastAsia="Times New Roman"/>
          <w:sz w:val="18"/>
        </w:rPr>
        <w:t>Une plaque pleine se rétrécit généralement en traction. Un nid d’abeilles rentrant du même matériau peut s’élargir. Téléchargez et décompressez les fichiers, puis transmettez le dossier à votre assistant IA.</w:t>
      </w:r>
    </w:p>
    <w:p>
      <w:pPr>
        <w:spacing w:after="60" w:line="240" w:lineRule="auto" w:before="120"/>
        <w:jc w:val="center"/>
      </w:pPr>
      <w:r>
        <w:drawing>
          <wp:inline xmlns:a="http://schemas.openxmlformats.org/drawingml/2006/main" xmlns:pic="http://schemas.openxmlformats.org/drawingml/2006/picture">
            <wp:extent cx="5842000" cy="2155976"/>
            <wp:docPr id="6" name="Picture 6" descr="honeycomb-setup-fr"/>
            <wp:cNvGraphicFramePr>
              <a:graphicFrameLocks noChangeAspect="1"/>
            </wp:cNvGraphicFramePr>
            <a:graphic>
              <a:graphicData uri="http://schemas.openxmlformats.org/drawingml/2006/picture">
                <pic:pic>
                  <pic:nvPicPr>
                    <pic:cNvPr id="0" name="honeycomb-setup-fr.png"/>
                    <pic:cNvPicPr/>
                  </pic:nvPicPr>
                  <pic:blipFill>
                    <a:blip r:embed="rId16"/>
                    <a:stretch>
                      <a:fillRect/>
                    </a:stretch>
                  </pic:blipFill>
                  <pic:spPr>
                    <a:xfrm>
                      <a:off x="0" y="0"/>
                      <a:ext cx="5842000" cy="2155976"/>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Téléchargez et décompressez le dossier ; transmettez-le à l’IA. Les coordonnées sont en mètres.</w:t>
      </w:r>
    </w:p>
    <w:p>
      <w:pPr>
        <w:pStyle w:val="Caption"/>
        <w:keepNext w:val="0"/>
        <w:widowControl/>
        <w:spacing w:after="120" w:before="0" w:line="210" w:lineRule="exact"/>
      </w:pPr>
      <w:hyperlink r:id="rId17">
        <w:r>
          <w:rPr>
            <w:color w:val="336B85"/>
          </w:rPr>
          <w:t>https://lab.haoming-luo.com/learn/files/honeycomb.zip</w:t>
        </w:r>
      </w:hyperlink>
    </w:p>
    <w:p>
      <w:pPr>
        <w:pStyle w:val="Heading2"/>
        <w:keepNext/>
        <w:widowControl/>
        <w:spacing w:after="120" w:before="100" w:line="320" w:lineRule="exact"/>
      </w:pPr>
      <w:r>
        <w:rPr>
          <w:rFonts w:ascii="Arial" w:hAnsi="Arial" w:eastAsia="Arial"/>
          <w:sz w:val="24"/>
        </w:rPr>
        <w:t>Consigne de modélisation</w:t>
      </w:r>
    </w:p>
    <w:p>
      <w:pPr>
        <w:keepNext w:val="0"/>
        <w:widowControl/>
        <w:spacing w:after="120" w:before="0" w:line="270" w:lineRule="exact"/>
      </w:pPr>
      <w:r>
        <w:rPr>
          <w:rFonts w:ascii="Times New Roman" w:hAnsi="Times New Roman" w:eastAsia="Times New Roman"/>
          <w:sz w:val="21"/>
        </w:rPr>
        <w:t>Avec AgentFEM, importez le fichier joint honeycomb.msh sans redessiner la géométrie. Les coordonnées sont en mètres ; largeur 51,9615 mm, hauteur 60 mm. Les étiquettes 11/12/13/14 désignent gauche/droite/bas/haut. Utilisez l’élasticité linéaire en petites déformations et contraintes planes 2D : E=1 GPa, coefficient de Poisson 0,3 ; négligez la pesanteur. Bloquez le déplacement horizontal à gauche et imposez à droite un allongement horizontal de 0,1 % de la largeur. Le mouvement vertical est libre, sauf au nœud le plus bas du bord gauche (nid d’abeilles : x=0, y=5 mm ; plaque : coin inférieur gauche). Calculez les déformations axiale et transversale et le coefficient de Poisson apparent à partir des déplacements moyens des quatre bords. Comparez à une plaque pleine de mêmes dimensions, matériau et appuis. Tracez les deux déformées côte à côte avec leurs contours initiaux ; amplifiez les déplacements 100 fois et indiquez ce facteur.</w:t>
      </w:r>
    </w:p>
    <w:p>
      <w:pPr>
        <w:pStyle w:val="Heading2"/>
        <w:keepNext/>
        <w:widowControl/>
        <w:spacing w:after="120" w:before="100" w:line="320" w:lineRule="exact"/>
      </w:pPr>
      <w:r>
        <w:rPr>
          <w:rFonts w:ascii="Arial" w:hAnsi="Arial" w:eastAsia="Arial"/>
          <w:sz w:val="24"/>
        </w:rPr>
        <w:t>Pour aller plus loin</w:t>
      </w:r>
    </w:p>
    <w:p>
      <w:pPr>
        <w:keepNext w:val="0"/>
        <w:widowControl/>
        <w:spacing w:after="120" w:before="0" w:line="270" w:lineRule="exact"/>
      </w:pPr>
      <w:r>
        <w:rPr>
          <w:rFonts w:ascii="Times New Roman" w:hAnsi="Times New Roman" w:eastAsia="Times New Roman"/>
          <w:sz w:val="21"/>
        </w:rPr>
        <w:t>À partir de ces résultats, créez un GIF en boucle montrant le nid d’abeilles et la plaque étirés ensemble, puis revenus à leur forme initiale. Gardez le cadrage et les limites des axes fixes, conservez les contours initiaux et indiquez l’amplification des déplacements ×100.</w:t>
      </w:r>
    </w:p>
    <w:p>
      <w:pPr>
        <w:pStyle w:val="Heading2"/>
        <w:keepNext/>
        <w:widowControl/>
        <w:spacing w:after="120" w:before="100" w:line="320" w:lineRule="exact"/>
      </w:pPr>
      <w:r>
        <w:rPr>
          <w:rFonts w:ascii="Arial" w:hAnsi="Arial" w:eastAsia="Arial"/>
          <w:sz w:val="24"/>
        </w:rPr>
        <w:t>Observations</w:t>
      </w:r>
    </w:p>
    <w:p>
      <w:pPr>
        <w:pStyle w:val="Caption"/>
        <w:keepNext w:val="0"/>
        <w:widowControl/>
        <w:spacing w:after="120" w:before="0" w:line="230" w:lineRule="exact"/>
      </w:pPr>
      <w:r>
        <w:rPr>
          <w:rFonts w:ascii="Times New Roman" w:hAnsi="Times New Roman" w:eastAsia="Times New Roman"/>
          <w:sz w:val="18"/>
        </w:rPr>
        <w:t>Nid d’abeilles : déformation axiale ________ transversale ________ coefficient ________</w:t>
      </w:r>
    </w:p>
    <w:p>
      <w:pPr>
        <w:pStyle w:val="Caption"/>
        <w:keepNext w:val="0"/>
        <w:widowControl/>
        <w:spacing w:after="120" w:before="0" w:line="230" w:lineRule="exact"/>
      </w:pPr>
      <w:r>
        <w:rPr>
          <w:rFonts w:ascii="Times New Roman" w:hAnsi="Times New Roman" w:eastAsia="Times New Roman"/>
          <w:sz w:val="18"/>
        </w:rPr>
        <w:t>Coefficient de la plaque : ________ Fichier GIF : ________________</w:t>
      </w:r>
    </w:p>
    <w:p>
      <w:pPr>
        <w:pStyle w:val="Caption"/>
        <w:keepNext w:val="0"/>
        <w:widowControl/>
        <w:spacing w:after="120" w:before="0" w:line="230" w:lineRule="exact"/>
      </w:pPr>
      <w:r>
        <w:rPr>
          <w:rFonts w:ascii="Times New Roman" w:hAnsi="Times New Roman" w:eastAsia="Times New Roman"/>
          <w:sz w:val="18"/>
        </w:rPr>
        <w:t>Rendez une figure comparative, les valeurs principales et deux ou trois phrases d’explication.</w:t>
      </w:r>
    </w:p>
    <w:p>
      <w:r>
        <w:br w:type="page"/>
      </w:r>
    </w:p>
    <w:p>
      <w:pPr>
        <w:pStyle w:val="Heading1"/>
        <w:keepNext/>
        <w:widowControl/>
        <w:spacing w:after="120" w:before="0" w:line="420" w:lineRule="exact"/>
      </w:pPr>
      <w:r>
        <w:rPr>
          <w:rFonts w:ascii="Arial" w:hAnsi="Arial" w:eastAsia="Arial"/>
          <w:sz w:val="32"/>
        </w:rPr>
        <w:t>Corrigé 1</w:t>
      </w:r>
    </w:p>
    <w:p>
      <w:pPr>
        <w:pStyle w:val="Caption"/>
        <w:keepNext w:val="0"/>
        <w:widowControl/>
        <w:spacing w:after="120" w:before="0" w:line="230" w:lineRule="exact"/>
      </w:pPr>
      <w:r>
        <w:rPr>
          <w:rFonts w:ascii="Times New Roman" w:hAnsi="Times New Roman" w:eastAsia="Times New Roman"/>
          <w:sz w:val="18"/>
        </w:rPr>
        <w:t>Complétez vos observations avant de consulter le corrigé. Vérifiez les ordres de grandeur et les tendances, sans exiger une égalité chiffre par chiffre entre maillages.</w:t>
      </w:r>
    </w:p>
    <w:p>
      <w:pPr>
        <w:pStyle w:val="Heading2"/>
        <w:keepNext/>
        <w:widowControl/>
        <w:spacing w:after="120" w:before="100" w:line="320" w:lineRule="exact"/>
      </w:pPr>
      <w:r>
        <w:rPr>
          <w:rFonts w:ascii="Arial" w:hAnsi="Arial" w:eastAsia="Arial"/>
          <w:sz w:val="24"/>
        </w:rPr>
        <w:t>1 Flexion d’une poutre encastrée</w:t>
      </w:r>
    </w:p>
    <w:p>
      <w:pPr>
        <w:keepNext w:val="0"/>
        <w:widowControl/>
        <w:spacing w:after="120" w:before="0" w:line="280" w:lineRule="exact"/>
      </w:pPr>
      <w:r>
        <w:rPr>
          <w:rFonts w:ascii="Times New Roman" w:hAnsi="Times New Roman" w:eastAsia="Times New Roman"/>
          <w:sz w:val="21"/>
        </w:rPr>
        <w:t>Pour une section rectangulaire et une poutre d’Euler–Bernoulli :</w:t>
      </w:r>
    </w:p>
    <w:p>
      <w:pPr>
        <w:keepNext w:val="0"/>
        <w:widowControl/>
        <w:spacing w:after="120" w:before="0" w:line="320" w:lineRule="exact"/>
      </w:pPr>
      <w:r>
        <w:rPr>
          <w:rFonts w:ascii="Times New Roman" w:hAnsi="Times New Roman" w:eastAsia="Times New Roman"/>
          <w:sz w:val="22"/>
        </w:rPr>
        <w:t>I = bh</w:t>
      </w:r>
      <w:r>
        <w:rPr>
          <w:rFonts w:ascii="Times New Roman" w:hAnsi="Times New Roman" w:eastAsia="Times New Roman"/>
          <w:sz w:val="22"/>
          <w:vertAlign w:val="superscript"/>
        </w:rPr>
        <w:t>3</w:t>
      </w:r>
      <w:r>
        <w:rPr>
          <w:rFonts w:ascii="Times New Roman" w:hAnsi="Times New Roman" w:eastAsia="Times New Roman"/>
          <w:sz w:val="22"/>
        </w:rPr>
        <w:t>/12 = 6.667 × 10</w:t>
      </w:r>
      <w:r>
        <w:rPr>
          <w:rFonts w:ascii="Times New Roman" w:hAnsi="Times New Roman" w:eastAsia="Times New Roman"/>
          <w:sz w:val="22"/>
          <w:vertAlign w:val="superscript"/>
        </w:rPr>
        <w:t>−9</w:t>
      </w:r>
      <w:r>
        <w:rPr>
          <w:rFonts w:ascii="Times New Roman" w:hAnsi="Times New Roman" w:eastAsia="Times New Roman"/>
          <w:sz w:val="22"/>
        </w:rPr>
        <w:t xml:space="preserve"> m</w:t>
      </w:r>
      <w:r>
        <w:rPr>
          <w:rFonts w:ascii="Times New Roman" w:hAnsi="Times New Roman" w:eastAsia="Times New Roman"/>
          <w:sz w:val="22"/>
          <w:vertAlign w:val="superscript"/>
        </w:rPr>
        <w:t>4</w:t>
      </w:r>
      <w:r>
        <w:rPr>
          <w:rFonts w:ascii="Times New Roman" w:hAnsi="Times New Roman" w:eastAsia="Times New Roman"/>
          <w:sz w:val="22"/>
        </w:rPr>
        <w:t>; δ = FL</w:t>
      </w:r>
      <w:r>
        <w:rPr>
          <w:rFonts w:ascii="Times New Roman" w:hAnsi="Times New Roman" w:eastAsia="Times New Roman"/>
          <w:sz w:val="22"/>
          <w:vertAlign w:val="superscript"/>
        </w:rPr>
        <w:t>3</w:t>
      </w:r>
      <w:r>
        <w:rPr>
          <w:rFonts w:ascii="Times New Roman" w:hAnsi="Times New Roman" w:eastAsia="Times New Roman"/>
          <w:sz w:val="22"/>
        </w:rPr>
        <w:t>/(3EI).</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3100"/>
        <w:gridCol w:w="5080"/>
      </w:tblGrid>
      <w:tr>
        <w:trPr>
          <w:tblHeader/>
        </w:trPr>
        <w:tc>
          <w:tcPr>
            <w:tcW w:type="dxa" w:w="18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Force totale</w:t>
            </w:r>
          </w:p>
        </w:tc>
        <w:tc>
          <w:tcPr>
            <w:tcW w:type="dxa" w:w="31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Théorie / mm</w:t>
            </w:r>
          </w:p>
        </w:tc>
        <w:tc>
          <w:tcPr>
            <w:tcW w:type="dxa" w:w="50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EF ou proportionnalité / mm</w:t>
            </w:r>
          </w:p>
        </w:tc>
      </w:tr>
      <w:tr>
        <w:tc>
          <w:tcPr>
            <w:tcW w:type="dxa" w:w="1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200 N</w:t>
            </w:r>
          </w:p>
        </w:tc>
        <w:tc>
          <w:tcPr>
            <w:tcW w:type="dxa" w:w="3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0,381</w:t>
            </w:r>
          </w:p>
        </w:tc>
        <w:tc>
          <w:tcPr>
            <w:tcW w:type="dxa" w:w="50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0,383 (EF)</w:t>
            </w:r>
          </w:p>
        </w:tc>
      </w:tr>
      <w:tr>
        <w:tc>
          <w:tcPr>
            <w:tcW w:type="dxa" w:w="1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400 N</w:t>
            </w:r>
          </w:p>
        </w:tc>
        <w:tc>
          <w:tcPr>
            <w:tcW w:type="dxa" w:w="31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0,762</w:t>
            </w:r>
          </w:p>
        </w:tc>
        <w:tc>
          <w:tcPr>
            <w:tcW w:type="dxa" w:w="50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0,766 (proportionnalité)</w:t>
            </w:r>
          </w:p>
        </w:tc>
      </w:tr>
    </w:tbl>
    <w:p>
      <w:pPr>
        <w:spacing w:after="60" w:line="240" w:lineRule="auto" w:before="120"/>
        <w:jc w:val="center"/>
      </w:pPr>
      <w:r>
        <w:drawing>
          <wp:inline xmlns:a="http://schemas.openxmlformats.org/drawingml/2006/main" xmlns:pic="http://schemas.openxmlformats.org/drawingml/2006/picture">
            <wp:extent cx="4572000" cy="1221643"/>
            <wp:docPr id="7" name="Picture 7" descr="beam-fr"/>
            <wp:cNvGraphicFramePr>
              <a:graphicFrameLocks noChangeAspect="1"/>
            </wp:cNvGraphicFramePr>
            <a:graphic>
              <a:graphicData uri="http://schemas.openxmlformats.org/drawingml/2006/picture">
                <pic:pic>
                  <pic:nvPicPr>
                    <pic:cNvPr id="0" name="beam-fr.png"/>
                    <pic:cNvPicPr/>
                  </pic:nvPicPr>
                  <pic:blipFill>
                    <a:blip r:embed="rId18"/>
                    <a:stretch>
                      <a:fillRect/>
                    </a:stretch>
                  </pic:blipFill>
                  <pic:spPr>
                    <a:xfrm>
                      <a:off x="0" y="0"/>
                      <a:ext cx="4572000" cy="1221643"/>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1. Déplacement de la poutre ; pointillés : forme initiale ; déformée ×15.</w:t>
      </w:r>
    </w:p>
    <w:p>
      <w:pPr>
        <w:pStyle w:val="Caption"/>
        <w:keepNext w:val="0"/>
        <w:widowControl/>
        <w:spacing w:after="120" w:before="0" w:line="230" w:lineRule="exact"/>
      </w:pPr>
      <w:r>
        <w:rPr>
          <w:rFonts w:ascii="Times New Roman" w:hAnsi="Times New Roman" w:eastAsia="Times New Roman"/>
          <w:sz w:val="18"/>
        </w:rPr>
        <w:t>Le déplacement vers le bas est négatif si y est orienté vers le haut ; le tableau donne sa valeur absolue. Le résultat EF dépasse la théorie des poutres d’environ 0,59 %. L’élasticité 2D inclut le cisaillement et les effets d’encastrement, tandis que la théorie des poutres est approchée. En élasticité linéaire, doubler la charge donne un rapport de déplacement égal à 2.</w:t>
      </w:r>
    </w:p>
    <w:p>
      <w:pPr>
        <w:pStyle w:val="Heading2"/>
        <w:keepNext/>
        <w:widowControl/>
        <w:spacing w:after="120" w:before="100" w:line="320" w:lineRule="exact"/>
      </w:pPr>
      <w:r>
        <w:rPr>
          <w:rFonts w:ascii="Arial" w:hAnsi="Arial" w:eastAsia="Arial"/>
          <w:sz w:val="24"/>
        </w:rPr>
        <w:t>2 Cylindre épais sous pression interne</w:t>
      </w:r>
    </w:p>
    <w:p>
      <w:pPr>
        <w:keepNext w:val="0"/>
        <w:widowControl/>
        <w:spacing w:after="120" w:before="0" w:line="280" w:lineRule="exact"/>
      </w:pPr>
      <w:r>
        <w:rPr>
          <w:rFonts w:ascii="Times New Roman" w:hAnsi="Times New Roman" w:eastAsia="Times New Roman"/>
          <w:sz w:val="21"/>
        </w:rPr>
        <w:t>Pour une déformation axiale nulle et une pression externe nulle, la solution de Lamé donne :</w:t>
      </w:r>
    </w:p>
    <w:p>
      <w:pPr>
        <w:keepNext w:val="0"/>
        <w:widowControl/>
        <w:spacing w:after="120" w:before="0" w:line="320" w:lineRule="exact"/>
      </w:pPr>
      <w:r>
        <w:rPr>
          <w:rFonts w:ascii="Times New Roman" w:hAnsi="Times New Roman" w:eastAsia="Times New Roman"/>
          <w:sz w:val="22"/>
        </w:rPr>
        <w:t>A = pa</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 xml:space="preserve"> − a</w:t>
      </w:r>
      <w:r>
        <w:rPr>
          <w:rFonts w:ascii="Times New Roman" w:hAnsi="Times New Roman" w:eastAsia="Times New Roman"/>
          <w:sz w:val="22"/>
          <w:vertAlign w:val="superscript"/>
        </w:rPr>
        <w:t>2</w:t>
      </w:r>
      <w:r>
        <w:rPr>
          <w:rFonts w:ascii="Times New Roman" w:hAnsi="Times New Roman" w:eastAsia="Times New Roman"/>
          <w:sz w:val="22"/>
        </w:rPr>
        <w:t>); B = pa</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/(b</w:t>
      </w:r>
      <w:r>
        <w:rPr>
          <w:rFonts w:ascii="Times New Roman" w:hAnsi="Times New Roman" w:eastAsia="Times New Roman"/>
          <w:sz w:val="22"/>
          <w:vertAlign w:val="superscript"/>
        </w:rPr>
        <w:t>2</w:t>
      </w:r>
      <w:r>
        <w:rPr>
          <w:rFonts w:ascii="Times New Roman" w:hAnsi="Times New Roman" w:eastAsia="Times New Roman"/>
          <w:sz w:val="22"/>
        </w:rPr>
        <w:t xml:space="preserve"> − a</w:t>
      </w:r>
      <w:r>
        <w:rPr>
          <w:rFonts w:ascii="Times New Roman" w:hAnsi="Times New Roman" w:eastAsia="Times New Roman"/>
          <w:sz w:val="22"/>
          <w:vertAlign w:val="superscript"/>
        </w:rPr>
        <w:t>2</w:t>
      </w:r>
      <w:r>
        <w:rPr>
          <w:rFonts w:ascii="Times New Roman" w:hAnsi="Times New Roman" w:eastAsia="Times New Roman"/>
          <w:sz w:val="22"/>
        </w:rPr>
        <w:t>).</w:t>
      </w:r>
      <w:r>
        <w:rPr>
          <w:rFonts w:ascii="Times New Roman" w:hAnsi="Times New Roman" w:eastAsia="Times New Roman"/>
          <w:sz w:val="22"/>
        </w:rPr>
        <w:br/>
      </w:r>
      <w:r>
        <w:rPr>
          <w:rFonts w:ascii="Times New Roman" w:hAnsi="Times New Roman" w:eastAsia="Times New Roman"/>
          <w:sz w:val="22"/>
        </w:rPr>
        <w:t>u</w:t>
      </w:r>
      <w:r>
        <w:rPr>
          <w:rFonts w:ascii="Times New Roman" w:hAnsi="Times New Roman" w:eastAsia="Times New Roman"/>
          <w:sz w:val="22"/>
          <w:vertAlign w:val="subscript"/>
        </w:rPr>
        <w:t>r</w:t>
      </w:r>
      <w:r>
        <w:rPr>
          <w:rFonts w:ascii="Times New Roman" w:hAnsi="Times New Roman" w:eastAsia="Times New Roman"/>
          <w:sz w:val="22"/>
        </w:rPr>
        <w:t>(r) = [(1 + ν)/E] [(1 − 2ν)Ar + B/r].</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00"/>
        <w:gridCol w:w="3400"/>
        <w:gridCol w:w="4680"/>
      </w:tblGrid>
      <w:tr>
        <w:trPr>
          <w:tblHeader/>
        </w:trPr>
        <w:tc>
          <w:tcPr>
            <w:tcW w:type="dxa" w:w="19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Rayon extérieur</w:t>
            </w:r>
          </w:p>
        </w:tc>
        <w:tc>
          <w:tcPr>
            <w:tcW w:type="dxa" w:w="34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Déplacement intérieur / μm</w:t>
            </w:r>
          </w:p>
        </w:tc>
        <w:tc>
          <w:tcPr>
            <w:tcW w:type="dxa" w:w="46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Source</w:t>
            </w:r>
          </w:p>
        </w:tc>
      </w:tr>
      <w:tr>
        <w:tc>
          <w:tcPr>
            <w:tcW w:type="dxa" w:w="1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50 mm</w:t>
            </w:r>
          </w:p>
        </w:tc>
        <w:tc>
          <w:tcPr>
            <w:tcW w:type="dxa" w:w="3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2,270</w:t>
            </w:r>
          </w:p>
        </w:tc>
        <w:tc>
          <w:tcPr>
            <w:tcW w:type="dxa" w:w="4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Analytique et EF de référence</w:t>
            </w:r>
          </w:p>
        </w:tc>
      </w:tr>
      <w:tr>
        <w:tc>
          <w:tcPr>
            <w:tcW w:type="dxa" w:w="1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 mm</w:t>
            </w:r>
          </w:p>
        </w:tc>
        <w:tc>
          <w:tcPr>
            <w:tcW w:type="dxa" w:w="3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2,003</w:t>
            </w:r>
          </w:p>
        </w:tc>
        <w:tc>
          <w:tcPr>
            <w:tcW w:type="dxa" w:w="4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Analytique</w:t>
            </w:r>
          </w:p>
        </w:tc>
      </w:tr>
    </w:tbl>
    <w:p>
      <w:pPr>
        <w:spacing w:after="60" w:line="240" w:lineRule="auto" w:before="120"/>
        <w:jc w:val="center"/>
      </w:pPr>
      <w:r>
        <w:drawing>
          <wp:inline xmlns:a="http://schemas.openxmlformats.org/drawingml/2006/main" xmlns:pic="http://schemas.openxmlformats.org/drawingml/2006/picture">
            <wp:extent cx="4572000" cy="1303687"/>
            <wp:docPr id="8" name="Picture 8" descr="cylinder-fr"/>
            <wp:cNvGraphicFramePr>
              <a:graphicFrameLocks noChangeAspect="1"/>
            </wp:cNvGraphicFramePr>
            <a:graphic>
              <a:graphicData uri="http://schemas.openxmlformats.org/drawingml/2006/picture">
                <pic:pic>
                  <pic:nvPicPr>
                    <pic:cNvPr id="0" name="cylinder-fr.png"/>
                    <pic:cNvPicPr/>
                  </pic:nvPicPr>
                  <pic:blipFill>
                    <a:blip r:embed="rId19"/>
                    <a:stretch>
                      <a:fillRect/>
                    </a:stretch>
                  </pic:blipFill>
                  <pic:spPr>
                    <a:xfrm>
                      <a:off x="0" y="0"/>
                      <a:ext cx="4572000" cy="1303687"/>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2. Déplacement radial dans l’épaisseur et solution de Lamé.</w:t>
      </w:r>
    </w:p>
    <w:p>
      <w:pPr>
        <w:pStyle w:val="Caption"/>
        <w:keepNext w:val="0"/>
        <w:widowControl/>
        <w:spacing w:after="120" w:before="0" w:line="230" w:lineRule="exact"/>
      </w:pPr>
      <w:r>
        <w:rPr>
          <w:rFonts w:ascii="Times New Roman" w:hAnsi="Times New Roman" w:eastAsia="Times New Roman"/>
          <w:sz w:val="18"/>
        </w:rPr>
        <w:t>Passer de 50 à 60 mm de rayon extérieur réduit le déplacement intérieur d’environ 11,76 %. La contrainte cinématique axiale reste inchangée. Cette formule ne s’applique pas directement à un cylindre libre de s’allonger ou muni de fonds.</w:t>
      </w:r>
    </w:p>
    <w:p>
      <w:r>
        <w:br w:type="page"/>
      </w:r>
    </w:p>
    <w:p>
      <w:pPr>
        <w:pStyle w:val="Heading1"/>
        <w:keepNext/>
        <w:widowControl/>
        <w:spacing w:after="120" w:before="0" w:line="420" w:lineRule="exact"/>
      </w:pPr>
      <w:r>
        <w:rPr>
          <w:rFonts w:ascii="Arial" w:hAnsi="Arial" w:eastAsia="Arial"/>
          <w:sz w:val="32"/>
        </w:rPr>
        <w:t>Corrigé 2</w:t>
      </w:r>
    </w:p>
    <w:p>
      <w:pPr>
        <w:pStyle w:val="Heading2"/>
        <w:keepNext/>
        <w:widowControl/>
        <w:spacing w:after="120" w:before="100" w:line="320" w:lineRule="exact"/>
      </w:pPr>
      <w:r>
        <w:rPr>
          <w:rFonts w:ascii="Arial" w:hAnsi="Arial" w:eastAsia="Arial"/>
          <w:sz w:val="24"/>
        </w:rPr>
        <w:t>3 Conduction stationnaire dans une plaque</w:t>
      </w:r>
    </w:p>
    <w:p>
      <w:pPr>
        <w:keepNext w:val="0"/>
        <w:widowControl/>
        <w:spacing w:after="120" w:before="0" w:line="280" w:lineRule="exact"/>
      </w:pPr>
      <w:r>
        <w:rPr>
          <w:rFonts w:ascii="Times New Roman" w:hAnsi="Times New Roman" w:eastAsia="Times New Roman"/>
          <w:sz w:val="21"/>
        </w:rPr>
        <w:t>Pour un matériau uniforme, sans source interne et avec les bords supérieur et inférieur adiabatiques, la température ne dépend que de x. Posons L = 0,1 m, avec x orienté vers la droite :</w:t>
      </w:r>
    </w:p>
    <w:p>
      <w:pPr>
        <w:keepNext w:val="0"/>
        <w:widowControl/>
        <w:spacing w:after="120" w:before="0" w:line="320" w:lineRule="exact"/>
      </w:pPr>
      <w:r>
        <w:rPr>
          <w:rFonts w:ascii="Times New Roman" w:hAnsi="Times New Roman" w:eastAsia="Times New Roman"/>
          <w:sz w:val="22"/>
        </w:rPr>
        <w:t>T(x) = 100 − 80x/L (°C); q</w:t>
      </w:r>
      <w:r>
        <w:rPr>
          <w:rFonts w:ascii="Times New Roman" w:hAnsi="Times New Roman" w:eastAsia="Times New Roman"/>
          <w:sz w:val="22"/>
          <w:vertAlign w:val="subscript"/>
        </w:rPr>
        <w:t>x</w:t>
      </w:r>
      <w:r>
        <w:rPr>
          <w:rFonts w:ascii="Times New Roman" w:hAnsi="Times New Roman" w:eastAsia="Times New Roman"/>
          <w:sz w:val="22"/>
        </w:rPr>
        <w:t xml:space="preserve"> = −k dT/dx = 80k/L.</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00"/>
        <w:gridCol w:w="2600"/>
        <w:gridCol w:w="3480"/>
      </w:tblGrid>
      <w:tr>
        <w:trPr>
          <w:tblHeader/>
        </w:trPr>
        <w:tc>
          <w:tcPr>
            <w:tcW w:type="dxa" w:w="39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Conductivité / W/(m·K)</w:t>
            </w:r>
          </w:p>
        </w:tc>
        <w:tc>
          <w:tcPr>
            <w:tcW w:type="dxa" w:w="26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Centre / °C</w:t>
            </w:r>
          </w:p>
        </w:tc>
        <w:tc>
          <w:tcPr>
            <w:tcW w:type="dxa" w:w="34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Flux thermique / W/m²</w:t>
            </w:r>
          </w:p>
        </w:tc>
      </w:tr>
      <w:tr>
        <w:tc>
          <w:tcPr>
            <w:tcW w:type="dxa" w:w="3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45</w:t>
            </w:r>
          </w:p>
        </w:tc>
        <w:tc>
          <w:tcPr>
            <w:tcW w:type="dxa" w:w="26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34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36 000</w:t>
            </w:r>
          </w:p>
        </w:tc>
      </w:tr>
      <w:tr>
        <w:tc>
          <w:tcPr>
            <w:tcW w:type="dxa" w:w="39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90</w:t>
            </w:r>
          </w:p>
        </w:tc>
        <w:tc>
          <w:tcPr>
            <w:tcW w:type="dxa" w:w="26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34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72 000</w:t>
            </w:r>
          </w:p>
        </w:tc>
      </w:tr>
    </w:tbl>
    <w:p>
      <w:pPr>
        <w:spacing w:after="60" w:line="240" w:lineRule="auto" w:before="120"/>
        <w:jc w:val="center"/>
      </w:pPr>
      <w:r>
        <w:drawing>
          <wp:inline xmlns:a="http://schemas.openxmlformats.org/drawingml/2006/main" xmlns:pic="http://schemas.openxmlformats.org/drawingml/2006/picture">
            <wp:extent cx="3429000" cy="977765"/>
            <wp:docPr id="9" name="Picture 9" descr="steady-fr"/>
            <wp:cNvGraphicFramePr>
              <a:graphicFrameLocks noChangeAspect="1"/>
            </wp:cNvGraphicFramePr>
            <a:graphic>
              <a:graphicData uri="http://schemas.openxmlformats.org/drawingml/2006/picture">
                <pic:pic>
                  <pic:nvPicPr>
                    <pic:cNvPr id="0" name="steady-fr.png"/>
                    <pic:cNvPicPr/>
                  </pic:nvPicPr>
                  <pic:blipFill>
                    <a:blip r:embed="rId20"/>
                    <a:stretch>
                      <a:fillRect/>
                    </a:stretch>
                  </pic:blipFill>
                  <pic:spPr>
                    <a:xfrm>
                      <a:off x="0" y="0"/>
                      <a:ext cx="3429000" cy="977765"/>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3. Température sur la ligne médiane horizontale.</w:t>
      </w:r>
    </w:p>
    <w:p>
      <w:pPr>
        <w:pStyle w:val="Caption"/>
        <w:keepNext w:val="0"/>
        <w:widowControl/>
        <w:spacing w:after="120" w:before="0" w:line="230" w:lineRule="exact"/>
      </w:pPr>
      <w:r>
        <w:rPr>
          <w:rFonts w:ascii="Times New Roman" w:hAnsi="Times New Roman" w:eastAsia="Times New Roman"/>
          <w:sz w:val="18"/>
        </w:rPr>
        <w:t>À températures imposées, changer la conductivité uniforme ne modifie pas ce profil, mais modifie le flux thermique. Le flux positif est dirigé vers la droite.</w:t>
      </w:r>
    </w:p>
    <w:p>
      <w:pPr>
        <w:pStyle w:val="Heading2"/>
        <w:keepNext/>
        <w:widowControl/>
        <w:spacing w:after="120" w:before="100" w:line="320" w:lineRule="exact"/>
      </w:pPr>
      <w:r>
        <w:rPr>
          <w:rFonts w:ascii="Arial" w:hAnsi="Arial" w:eastAsia="Arial"/>
          <w:sz w:val="24"/>
        </w:rPr>
        <w:t>4 Échauffement transitoire d’une plaque</w:t>
      </w:r>
    </w:p>
    <w:p>
      <w:pPr>
        <w:keepNext w:val="0"/>
        <w:widowControl/>
        <w:spacing w:after="120" w:before="0" w:line="280" w:lineRule="exact"/>
      </w:pPr>
      <w:r>
        <w:rPr>
          <w:rFonts w:ascii="Times New Roman" w:hAnsi="Times New Roman" w:eastAsia="Times New Roman"/>
          <w:sz w:val="21"/>
        </w:rPr>
        <w:t>Diffusivité thermique α = k/(ρc) = 1,154 × 10</w:t>
      </w:r>
      <w:r>
        <w:rPr>
          <w:rFonts w:ascii="Times New Roman" w:hAnsi="Times New Roman" w:eastAsia="Times New Roman"/>
          <w:sz w:val="21"/>
          <w:vertAlign w:val="superscript"/>
        </w:rPr>
        <w:t>−5</w:t>
      </w:r>
      <w:r>
        <w:rPr>
          <w:rFonts w:ascii="Times New Roman" w:hAnsi="Times New Roman" w:eastAsia="Times New Roman"/>
          <w:sz w:val="21"/>
        </w:rPr>
        <w:t xml:space="preserve"> m²/s. La température centrale analytique pour t &gt; 0 est :</w:t>
      </w:r>
    </w:p>
    <w:p>
      <w:pPr>
        <w:keepNext w:val="0"/>
        <w:widowControl/>
        <w:spacing w:after="120" w:before="0" w:line="320" w:lineRule="exact"/>
      </w:pPr>
      <w:r>
        <w:rPr>
          <w:rFonts w:ascii="Times New Roman" w:hAnsi="Times New Roman" w:eastAsia="Times New Roman"/>
          <w:sz w:val="22"/>
        </w:rPr>
        <w:t>T(L/2,t) = 60 − (160/π) Σ</w:t>
      </w:r>
      <w:r>
        <w:rPr>
          <w:rFonts w:ascii="Times New Roman" w:hAnsi="Times New Roman" w:eastAsia="Times New Roman"/>
          <w:sz w:val="22"/>
          <w:vertAlign w:val="subscript"/>
        </w:rPr>
        <w:t>n=1</w:t>
      </w:r>
      <w:r>
        <w:rPr>
          <w:rFonts w:ascii="Times New Roman" w:hAnsi="Times New Roman" w:eastAsia="Times New Roman"/>
          <w:sz w:val="22"/>
          <w:vertAlign w:val="superscript"/>
        </w:rPr>
        <w:t>∞</w:t>
      </w:r>
      <w:r>
        <w:rPr>
          <w:rFonts w:ascii="Times New Roman" w:hAnsi="Times New Roman" w:eastAsia="Times New Roman"/>
          <w:sz w:val="22"/>
        </w:rPr>
        <w:t xml:space="preserve"> [sin(nπ/2)/n] exp(−n</w:t>
      </w:r>
      <w:r>
        <w:rPr>
          <w:rFonts w:ascii="Times New Roman" w:hAnsi="Times New Roman" w:eastAsia="Times New Roman"/>
          <w:sz w:val="22"/>
          <w:vertAlign w:val="superscript"/>
        </w:rPr>
        <w:t>2</w:t>
      </w:r>
      <w:r>
        <w:rPr>
          <w:rFonts w:ascii="Times New Roman" w:hAnsi="Times New Roman" w:eastAsia="Times New Roman"/>
          <w:sz w:val="22"/>
        </w:rPr>
        <w:t>π</w:t>
      </w:r>
      <w:r>
        <w:rPr>
          <w:rFonts w:ascii="Times New Roman" w:hAnsi="Times New Roman" w:eastAsia="Times New Roman"/>
          <w:sz w:val="22"/>
          <w:vertAlign w:val="superscript"/>
        </w:rPr>
        <w:t>2</w:t>
      </w:r>
      <w:r>
        <w:rPr>
          <w:rFonts w:ascii="Times New Roman" w:hAnsi="Times New Roman" w:eastAsia="Times New Roman"/>
          <w:sz w:val="22"/>
        </w:rPr>
        <w:t>αt/L</w:t>
      </w:r>
      <w:r>
        <w:rPr>
          <w:rFonts w:ascii="Times New Roman" w:hAnsi="Times New Roman" w:eastAsia="Times New Roman"/>
          <w:sz w:val="22"/>
          <w:vertAlign w:val="superscript"/>
        </w:rPr>
        <w:t>2</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00"/>
        <w:gridCol w:w="2820"/>
        <w:gridCol w:w="2820"/>
        <w:gridCol w:w="2840"/>
      </w:tblGrid>
      <w:tr>
        <w:trPr>
          <w:tblHeader/>
        </w:trPr>
        <w:tc>
          <w:tcPr>
            <w:tcW w:type="dxa" w:w="15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Temps / s</w:t>
            </w:r>
          </w:p>
        </w:tc>
        <w:tc>
          <w:tcPr>
            <w:tcW w:type="dxa" w:w="28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Δt = 2 s / °C</w:t>
            </w:r>
          </w:p>
        </w:tc>
        <w:tc>
          <w:tcPr>
            <w:tcW w:type="dxa" w:w="282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Δt = 1 s / °C</w:t>
            </w:r>
          </w:p>
        </w:tc>
        <w:tc>
          <w:tcPr>
            <w:tcW w:type="dxa" w:w="284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Analytique / °C</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34,147</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34,231</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34,319</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120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46,814</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46,914</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47,014</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300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58,263</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58,296</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58,328</w:t>
            </w:r>
          </w:p>
        </w:tc>
      </w:tr>
      <w:tr>
        <w:tc>
          <w:tcPr>
            <w:tcW w:type="dxa" w:w="15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600</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59,941</w:t>
            </w:r>
          </w:p>
        </w:tc>
        <w:tc>
          <w:tcPr>
            <w:tcW w:type="dxa" w:w="282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59,943</w:t>
            </w:r>
          </w:p>
        </w:tc>
        <w:tc>
          <w:tcPr>
            <w:tcW w:type="dxa" w:w="284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59,945</w:t>
            </w:r>
          </w:p>
        </w:tc>
      </w:tr>
    </w:tbl>
    <w:p>
      <w:pPr>
        <w:spacing w:after="60" w:line="240" w:lineRule="auto" w:before="120"/>
        <w:jc w:val="center"/>
      </w:pPr>
      <w:r>
        <w:drawing>
          <wp:inline xmlns:a="http://schemas.openxmlformats.org/drawingml/2006/main" xmlns:pic="http://schemas.openxmlformats.org/drawingml/2006/picture">
            <wp:extent cx="3429000" cy="977765"/>
            <wp:docPr id="10" name="Picture 10" descr="transient-fr"/>
            <wp:cNvGraphicFramePr>
              <a:graphicFrameLocks noChangeAspect="1"/>
            </wp:cNvGraphicFramePr>
            <a:graphic>
              <a:graphicData uri="http://schemas.openxmlformats.org/drawingml/2006/picture">
                <pic:pic>
                  <pic:nvPicPr>
                    <pic:cNvPr id="0" name="transient-fr.png"/>
                    <pic:cNvPicPr/>
                  </pic:nvPicPr>
                  <pic:blipFill>
                    <a:blip r:embed="rId21"/>
                    <a:stretch>
                      <a:fillRect/>
                    </a:stretch>
                  </pic:blipFill>
                  <pic:spPr>
                    <a:xfrm>
                      <a:off x="0" y="0"/>
                      <a:ext cx="3429000" cy="977765"/>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 4. Température centrale ; pointillés : régime stationnaire à 60 °C.</w:t>
      </w:r>
    </w:p>
    <w:p>
      <w:pPr>
        <w:pStyle w:val="Caption"/>
        <w:keepNext w:val="0"/>
        <w:widowControl/>
        <w:spacing w:after="120" w:before="0" w:line="230" w:lineRule="exact"/>
      </w:pPr>
      <w:r>
        <w:rPr>
          <w:rFonts w:ascii="Times New Roman" w:hAnsi="Times New Roman" w:eastAsia="Times New Roman"/>
          <w:sz w:val="18"/>
        </w:rPr>
        <w:t>L’écart maximal aux instants communs est de 0,133 °C ; à 600 s, il vaut 0,0022 °C. L’accord final ne suffit pas : vérifiez toute l’évolution selon la précision recherchée.</w:t>
      </w:r>
    </w:p>
    <w:p>
      <w:pPr>
        <w:pStyle w:val="Caption"/>
        <w:keepNext w:val="0"/>
        <w:widowControl/>
        <w:spacing w:after="120" w:before="0" w:line="230" w:lineRule="exact"/>
      </w:pPr>
      <w:r>
        <w:rPr>
          <w:rFonts w:ascii="Times New Roman" w:hAnsi="Times New Roman" w:eastAsia="Times New Roman"/>
          <w:sz w:val="18"/>
        </w:rPr>
        <w:t>Calculs : AgentFEM 0.4.0.dev0 / DOLFINx 0.11.0. Poutre : 80 × 8 éléments quadratiques ; cylindre : 40 × 4 quadratiques ; thermique : 80 × 16 linéaires. Euler implicite en transitoire ; valeurs converties dans les unités indiquées.</w:t>
      </w:r>
    </w:p>
    <w:p>
      <w:r>
        <w:br w:type="page"/>
      </w:r>
    </w:p>
    <w:p>
      <w:pPr>
        <w:pStyle w:val="Heading1"/>
        <w:keepNext/>
        <w:widowControl/>
        <w:spacing w:after="120" w:before="0" w:line="420" w:lineRule="exact"/>
      </w:pPr>
      <w:r>
        <w:rPr>
          <w:rFonts w:ascii="Arial" w:hAnsi="Arial" w:eastAsia="Arial"/>
          <w:sz w:val="32"/>
        </w:rPr>
        <w:t>Corrigé 3</w:t>
      </w:r>
    </w:p>
    <w:p>
      <w:pPr>
        <w:pStyle w:val="Heading2"/>
        <w:keepNext/>
        <w:widowControl/>
        <w:spacing w:after="120" w:before="100" w:line="320" w:lineRule="exact"/>
      </w:pPr>
      <w:r>
        <w:rPr>
          <w:rFonts w:ascii="Arial" w:hAnsi="Arial" w:eastAsia="Arial"/>
          <w:sz w:val="24"/>
        </w:rPr>
        <w:t>5 Flambement</w:t>
      </w:r>
    </w:p>
    <w:p>
      <w:pPr>
        <w:keepNext w:val="0"/>
        <w:widowControl/>
        <w:spacing w:after="120" w:before="0" w:line="320" w:lineRule="exact"/>
      </w:pPr>
      <w:r>
        <w:rPr>
          <w:rFonts w:ascii="Times New Roman" w:hAnsi="Times New Roman" w:eastAsia="Times New Roman"/>
          <w:sz w:val="22"/>
        </w:rPr>
        <w:t>I = bh</w:t>
      </w:r>
      <w:r>
        <w:rPr>
          <w:rFonts w:ascii="Times New Roman" w:hAnsi="Times New Roman" w:eastAsia="Times New Roman"/>
          <w:sz w:val="22"/>
          <w:vertAlign w:val="superscript"/>
        </w:rPr>
        <w:t>3</w:t>
      </w:r>
      <w:r>
        <w:rPr>
          <w:rFonts w:ascii="Times New Roman" w:hAnsi="Times New Roman" w:eastAsia="Times New Roman"/>
          <w:sz w:val="22"/>
        </w:rPr>
        <w:t>/12; P</w:t>
      </w:r>
      <w:r>
        <w:rPr>
          <w:rFonts w:ascii="Times New Roman" w:hAnsi="Times New Roman" w:eastAsia="Times New Roman"/>
          <w:sz w:val="22"/>
          <w:vertAlign w:val="subscript"/>
        </w:rPr>
        <w:t>cr</w:t>
      </w:r>
      <w:r>
        <w:rPr>
          <w:rFonts w:ascii="Times New Roman" w:hAnsi="Times New Roman" w:eastAsia="Times New Roman"/>
          <w:sz w:val="22"/>
        </w:rPr>
        <w:t xml:space="preserve"> = π</w:t>
      </w:r>
      <w:r>
        <w:rPr>
          <w:rFonts w:ascii="Times New Roman" w:hAnsi="Times New Roman" w:eastAsia="Times New Roman"/>
          <w:sz w:val="22"/>
          <w:vertAlign w:val="superscript"/>
        </w:rPr>
        <w:t>2</w:t>
      </w:r>
      <w:r>
        <w:rPr>
          <w:rFonts w:ascii="Times New Roman" w:hAnsi="Times New Roman" w:eastAsia="Times New Roman"/>
          <w:sz w:val="22"/>
        </w:rPr>
        <w:t>EI/(4L</w:t>
      </w:r>
      <w:r>
        <w:rPr>
          <w:rFonts w:ascii="Times New Roman" w:hAnsi="Times New Roman" w:eastAsia="Times New Roman"/>
          <w:sz w:val="22"/>
          <w:vertAlign w:val="superscript"/>
        </w:rPr>
        <w:t>2</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00"/>
        <w:gridCol w:w="6180"/>
      </w:tblGrid>
      <w:tr>
        <w:trPr>
          <w:tblHeader/>
        </w:trPr>
        <w:tc>
          <w:tcPr>
            <w:tcW w:type="dxa" w:w="38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Force totale / kN</w:t>
            </w:r>
          </w:p>
        </w:tc>
        <w:tc>
          <w:tcPr>
            <w:tcW w:type="dxa" w:w="61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Déplacement latéral moyen / mm</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6.0</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0.125</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9.0</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0.505</w:t>
            </w:r>
          </w:p>
        </w:tc>
      </w:tr>
      <w:tr>
        <w:tc>
          <w:tcPr>
            <w:tcW w:type="dxa" w:w="38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10.7</w:t>
            </w:r>
          </w:p>
        </w:tc>
        <w:tc>
          <w:tcPr>
            <w:tcW w:type="dxa" w:w="61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11.953</w:t>
            </w:r>
          </w:p>
        </w:tc>
      </w:tr>
    </w:tbl>
    <w:p>
      <w:pPr>
        <w:spacing w:after="60" w:line="240" w:lineRule="auto" w:before="160"/>
        <w:jc w:val="center"/>
      </w:pPr>
      <w:r>
        <w:drawing>
          <wp:inline xmlns:a="http://schemas.openxmlformats.org/drawingml/2006/main" xmlns:pic="http://schemas.openxmlformats.org/drawingml/2006/picture">
            <wp:extent cx="3302000" cy="1816100"/>
            <wp:docPr id="11" name="Picture 11" descr="column-fr"/>
            <wp:cNvGraphicFramePr>
              <a:graphicFrameLocks noChangeAspect="1"/>
            </wp:cNvGraphicFramePr>
            <a:graphic>
              <a:graphicData uri="http://schemas.openxmlformats.org/drawingml/2006/picture">
                <pic:pic>
                  <pic:nvPicPr>
                    <pic:cNvPr id="0" name="column-fr.png"/>
                    <pic:cNvPicPr/>
                  </pic:nvPicPr>
                  <pic:blipFill>
                    <a:blip r:embed="rId22"/>
                    <a:stretch>
                      <a:fillRect/>
                    </a:stretch>
                  </pic:blipFill>
                  <pic:spPr>
                    <a:xfrm>
                      <a:off x="0" y="0"/>
                      <a:ext cx="3302000" cy="1816100"/>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Euler donne 10,795 kN. La flèche, mesurée depuis la forme initiale, croît rapidement près de cette charge. La réponse imparfaite n’est pas une bifurcation idéale ; la plasticité est exclue.</w:t>
      </w:r>
    </w:p>
    <w:p>
      <w:pPr>
        <w:pStyle w:val="Heading2"/>
        <w:keepNext/>
        <w:widowControl/>
        <w:spacing w:after="120" w:before="100" w:line="320" w:lineRule="exact"/>
      </w:pPr>
      <w:r>
        <w:rPr>
          <w:rFonts w:ascii="Arial" w:hAnsi="Arial" w:eastAsia="Arial"/>
          <w:sz w:val="24"/>
        </w:rPr>
        <w:t>6 Coefficient de Poisson négatif</w:t>
      </w:r>
    </w:p>
    <w:p>
      <w:pPr>
        <w:keepNext w:val="0"/>
        <w:widowControl/>
        <w:spacing w:after="120" w:before="0" w:line="320" w:lineRule="exact"/>
      </w:pPr>
      <w:r>
        <w:rPr>
          <w:rFonts w:ascii="Times New Roman" w:hAnsi="Times New Roman" w:eastAsia="Times New Roman"/>
          <w:sz w:val="22"/>
        </w:rPr>
        <w:t>ν</w:t>
      </w:r>
      <w:r>
        <w:rPr>
          <w:rFonts w:ascii="Times New Roman" w:hAnsi="Times New Roman" w:eastAsia="Times New Roman"/>
          <w:sz w:val="22"/>
          <w:vertAlign w:val="subscript"/>
        </w:rPr>
        <w:t>app</w:t>
      </w:r>
      <w:r>
        <w:rPr>
          <w:rFonts w:ascii="Times New Roman" w:hAnsi="Times New Roman" w:eastAsia="Times New Roman"/>
          <w:sz w:val="22"/>
        </w:rPr>
        <w:t xml:space="preserve"> = −ε</w:t>
      </w:r>
      <w:r>
        <w:rPr>
          <w:rFonts w:ascii="Times New Roman" w:hAnsi="Times New Roman" w:eastAsia="Times New Roman"/>
          <w:sz w:val="22"/>
          <w:vertAlign w:val="subscript"/>
        </w:rPr>
        <w:t>y</w:t>
      </w:r>
      <w:r>
        <w:rPr>
          <w:rFonts w:ascii="Times New Roman" w:hAnsi="Times New Roman" w:eastAsia="Times New Roman"/>
          <w:sz w:val="22"/>
        </w:rPr>
        <w:t>/ε</w:t>
      </w:r>
      <w:r>
        <w:rPr>
          <w:rFonts w:ascii="Times New Roman" w:hAnsi="Times New Roman" w:eastAsia="Times New Roman"/>
          <w:sz w:val="22"/>
          <w:vertAlign w:val="subscript"/>
        </w:rPr>
        <w:t>x</w:t>
      </w:r>
      <w:r>
        <w:rPr>
          <w:rFonts w:ascii="Times New Roman" w:hAnsi="Times New Roman" w:eastAsia="Times New Roman"/>
          <w:sz w:val="22"/>
        </w:rPr>
        <w:t>.</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00"/>
        <w:gridCol w:w="2400"/>
        <w:gridCol w:w="2700"/>
        <w:gridCol w:w="2680"/>
      </w:tblGrid>
      <w:tr>
        <w:trPr>
          <w:tblHeader/>
        </w:trPr>
        <w:tc>
          <w:tcPr>
            <w:tcW w:type="dxa" w:w="22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Éprouvette</w:t>
            </w:r>
          </w:p>
        </w:tc>
        <w:tc>
          <w:tcPr>
            <w:tcW w:type="dxa" w:w="24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Déformation axiale</w:t>
            </w:r>
          </w:p>
        </w:tc>
        <w:tc>
          <w:tcPr>
            <w:tcW w:type="dxa" w:w="270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Transversale</w:t>
            </w:r>
          </w:p>
        </w:tc>
        <w:tc>
          <w:tcPr>
            <w:tcW w:type="dxa" w:w="2680"/>
            <w:vAlign w:val="center"/>
            <w:tcMar>
              <w:top w:w="45" w:type="dxa"/>
              <w:bottom w:w="45" w:type="dxa"/>
              <w:left w:w="90" w:type="dxa"/>
              <w:right w:w="90" w:type="dxa"/>
            </w:tcMar>
            <w:shd w:fill="EEEEEE"/>
          </w:tcPr>
          <w:p>
            <w:pPr>
              <w:pStyle w:val="Caption"/>
              <w:keepNext w:val="0"/>
              <w:widowControl/>
              <w:spacing w:after="60" w:before="0" w:line="240" w:lineRule="exact"/>
            </w:pPr>
            <w:r>
              <w:rPr>
                <w:rFonts w:ascii="Times New Roman" w:hAnsi="Times New Roman" w:eastAsia="Times New Roman"/>
                <w:sz w:val="18"/>
              </w:rPr>
              <w:t>Coefficient apparent</w:t>
            </w:r>
          </w:p>
        </w:tc>
      </w:tr>
      <w:tr>
        <w:tc>
          <w:tcPr>
            <w:tcW w:type="dxa" w:w="22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Nid d’abeilles</w:t>
            </w:r>
          </w:p>
        </w:tc>
        <w:tc>
          <w:tcPr>
            <w:tcW w:type="dxa" w:w="2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0.001000</w:t>
            </w:r>
          </w:p>
        </w:tc>
        <w:tc>
          <w:tcPr>
            <w:tcW w:type="dxa" w:w="2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0.001303</w:t>
            </w:r>
          </w:p>
        </w:tc>
        <w:tc>
          <w:tcPr>
            <w:tcW w:type="dxa" w:w="2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-1.3026</w:t>
            </w:r>
          </w:p>
        </w:tc>
      </w:tr>
      <w:tr>
        <w:tc>
          <w:tcPr>
            <w:tcW w:type="dxa" w:w="22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Plaque</w:t>
            </w:r>
          </w:p>
        </w:tc>
        <w:tc>
          <w:tcPr>
            <w:tcW w:type="dxa" w:w="24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0.001000</w:t>
            </w:r>
          </w:p>
        </w:tc>
        <w:tc>
          <w:tcPr>
            <w:tcW w:type="dxa" w:w="270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-0.000300</w:t>
            </w:r>
          </w:p>
        </w:tc>
        <w:tc>
          <w:tcPr>
            <w:tcW w:type="dxa" w:w="2680"/>
            <w:vAlign w:val="center"/>
            <w:tcMar>
              <w:top w:w="45" w:type="dxa"/>
              <w:bottom w:w="45" w:type="dxa"/>
              <w:left w:w="90" w:type="dxa"/>
              <w:right w:w="90" w:type="dxa"/>
            </w:tcMar>
          </w:tcPr>
          <w:p>
            <w:pPr>
              <w:pStyle w:val="Caption"/>
              <w:keepNext w:val="0"/>
              <w:widowControl/>
              <w:spacing w:after="60" w:before="0" w:line="240" w:lineRule="exact"/>
            </w:pPr>
            <w:r>
              <w:rPr>
                <w:rFonts w:ascii="Times New Roman" w:hAnsi="Times New Roman" w:eastAsia="Times New Roman"/>
                <w:sz w:val="18"/>
              </w:rPr>
              <w:t>0.3000</w:t>
            </w:r>
          </w:p>
        </w:tc>
      </w:tr>
    </w:tbl>
    <w:p>
      <w:pPr>
        <w:spacing w:after="60" w:line="240" w:lineRule="auto" w:before="160"/>
        <w:jc w:val="center"/>
      </w:pPr>
      <w:r>
        <w:drawing>
          <wp:inline xmlns:a="http://schemas.openxmlformats.org/drawingml/2006/main" xmlns:pic="http://schemas.openxmlformats.org/drawingml/2006/picture">
            <wp:extent cx="2794000" cy="1615807"/>
            <wp:docPr id="12" name="Picture 12" descr="honeycomb-fr"/>
            <wp:cNvGraphicFramePr>
              <a:graphicFrameLocks noChangeAspect="1"/>
            </wp:cNvGraphicFramePr>
            <a:graphic>
              <a:graphicData uri="http://schemas.openxmlformats.org/drawingml/2006/picture">
                <pic:pic>
                  <pic:nvPicPr>
                    <pic:cNvPr id="0" name="honeycomb-fr.png"/>
                    <pic:cNvPicPr/>
                  </pic:nvPicPr>
                  <pic:blipFill>
                    <a:blip r:embed="rId23"/>
                    <a:stretch>
                      <a:fillRect/>
                    </a:stretch>
                  </pic:blipFill>
                  <pic:spPr>
                    <a:xfrm>
                      <a:off x="0" y="0"/>
                      <a:ext cx="2794000" cy="1615807"/>
                    </a:xfrm>
                    <a:prstGeom prst="rect"/>
                  </pic:spPr>
                </pic:pic>
              </a:graphicData>
            </a:graphic>
          </wp:inline>
        </w:drawing>
      </w:r>
    </w:p>
    <w:p>
      <w:pPr>
        <w:pStyle w:val="Caption"/>
        <w:keepNext w:val="0"/>
        <w:widowControl/>
        <w:spacing w:after="120" w:before="0" w:line="230" w:lineRule="exact"/>
      </w:pPr>
      <w:r>
        <w:rPr>
          <w:rFonts w:ascii="Times New Roman" w:hAnsi="Times New Roman" w:eastAsia="Times New Roman"/>
          <w:sz w:val="18"/>
        </w:rPr>
        <w:t>Figures et GIF : affichage ×100, allongement réel de 0,1 %. Le GIF interpole les résultats linéaires, sans dynamique. Le maillage affiné donne −1,3062, soit 0,28 % d’écart.</w:t>
      </w:r>
    </w:p>
    <w:p>
      <w:pPr>
        <w:pStyle w:val="Heading2"/>
        <w:keepNext/>
        <w:widowControl/>
        <w:spacing w:after="120" w:before="100" w:line="320" w:lineRule="exact"/>
      </w:pPr>
      <w:r>
        <w:rPr>
          <w:rFonts w:ascii="Arial" w:hAnsi="Arial" w:eastAsia="Arial"/>
          <w:sz w:val="24"/>
        </w:rPr>
        <w:t>Références</w:t>
      </w:r>
    </w:p>
    <w:p>
      <w:pPr>
        <w:pStyle w:val="Caption"/>
        <w:keepNext w:val="0"/>
        <w:widowControl/>
        <w:spacing w:after="120" w:before="0" w:line="210" w:lineRule="exact"/>
      </w:pPr>
      <w:r>
        <w:rPr>
          <w:rFonts w:ascii="Times New Roman" w:hAnsi="Times New Roman" w:eastAsia="Times New Roman"/>
          <w:sz w:val="16"/>
        </w:rPr>
        <w:t xml:space="preserve">[1] Version web interactive avec consignes à copier et résultats. </w:t>
      </w:r>
      <w:hyperlink r:id="rId24">
        <w:r>
          <w:rPr>
            <w:color w:val="336B85"/>
          </w:rPr>
          <w:t>https://lab.haoming-luo.com/learn/fr.html</w:t>
        </w:r>
      </w:hyperlink>
    </w:p>
    <w:p>
      <w:pPr>
        <w:pStyle w:val="Caption"/>
        <w:keepNext w:val="0"/>
        <w:widowControl/>
        <w:spacing w:after="120" w:before="0" w:line="210" w:lineRule="exact"/>
      </w:pPr>
      <w:r>
        <w:rPr>
          <w:rFonts w:ascii="Times New Roman" w:hAnsi="Times New Roman" w:eastAsia="Times New Roman"/>
          <w:sz w:val="16"/>
        </w:rPr>
        <w:t xml:space="preserve">[2] Guide d’installation d’AgentFEM. </w:t>
      </w:r>
      <w:hyperlink r:id="rId25">
        <w:r>
          <w:rPr>
            <w:color w:val="336B85"/>
          </w:rPr>
          <w:t>https://github.com/haoming-luo/agentfem/blob/main/INSTALL.md</w:t>
        </w:r>
      </w:hyperlink>
    </w:p>
    <w:p>
      <w:pPr>
        <w:pStyle w:val="Caption"/>
        <w:keepNext w:val="0"/>
        <w:widowControl/>
        <w:spacing w:after="120" w:before="0" w:line="230" w:lineRule="exact"/>
      </w:pPr>
      <w:r>
        <w:rPr>
          <w:rFonts w:ascii="Times New Roman" w:hAnsi="Times New Roman" w:eastAsia="Times New Roman"/>
          <w:sz w:val="18"/>
        </w:rPr>
        <w:t>Remerciements : Nous remercions le professeur Meng Wang, du Beijing Institute of Technology, d’avoir proposé le premier d’introduire la simulation par éléments finis native de l’IA en classe, ainsi que Renzi Bai, de Northwestern Polytechnical University, pour la première installation validée d’AgentFEM sous Windows et sa contribution à ce support pédagogique.</w:t>
      </w:r>
    </w:p>
    <w:sectPr w:rsidR="00FC693F" w:rsidRPr="0006063C" w:rsidSect="00034616">
      <w:headerReference w:type="default" r:id="rId9"/>
      <w:footerReference w:type="default" r:id="rId10"/>
      <w:pgSz w:w="11906" w:h="16838"/>
      <w:pgMar w:top="960" w:right="960" w:bottom="900" w:left="960" w:header="440" w:footer="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pos="9400" w:val="left"/>
      </w:tabs>
    </w:pPr>
    <w:r>
      <w:t>Ajouter un pied de page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Travaux pratiques d’initiation à AgentFEM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00" w:lineRule="exact" w:before="0"/>
    </w:pPr>
    <w:rPr>
      <w:rFonts w:ascii="Times New Roman" w:hAnsi="Times New Roman" w:eastAsia="Times New Roman"/>
      <w:b w:val="0"/>
      <w:i w:val="0"/>
      <w:color w:val="000000"/>
      <w:sz w:val="21"/>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line="300" w:lineRule="exact"/>
      <w:outlineLvl w:val="0"/>
    </w:pPr>
    <w:rPr>
      <w:rFonts w:ascii="Arial" w:hAnsi="Arial" w:eastAsia="Arial"/>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00" w:line="300" w:lineRule="exact"/>
      <w:outlineLvl w:val="1"/>
    </w:pPr>
    <w:rPr>
      <w:rFonts w:ascii="Arial" w:hAnsi="Arial" w:eastAsia="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300" w:lineRule="exact" w:before="0"/>
      <w:contextualSpacing/>
    </w:pPr>
    <w:rPr>
      <w:rFonts w:ascii="Arial" w:hAnsi="Arial" w:eastAsia="Arial"/>
      <w:b w:val="0"/>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00" w:lineRule="exact" w:after="100" w:before="0"/>
    </w:pPr>
    <w:rPr>
      <w:rFonts w:ascii="Times New Roman" w:hAnsi="Times New Roman" w:eastAsia="Times New Roman"/>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lab.haoming-luo.com/learn/files/honeycomb.zip"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lab.haoming-luo.com/learn/fr.html" TargetMode="External"/><Relationship Id="rId25" Type="http://schemas.openxmlformats.org/officeDocument/2006/relationships/hyperlink" Target="https://github.com/haoming-luo/agentfem/blob/main/INSTALL.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Éléments finis avec l’IA</dc:title>
  <dc:subject>Travaux pratiques d’initiation à AgentFEM</dc:subject>
  <dc:creator>Haoming Luo</dc:creator>
  <cp:keywords/>
  <dc:description>generated by python-docx</dc:description>
  <cp:lastModifiedBy/>
  <cp:revision>1</cp:revision>
  <dcterms:created xsi:type="dcterms:W3CDTF">2013-12-23T23:15:00Z</dcterms:created>
  <dcterms:modified xsi:type="dcterms:W3CDTF">2013-12-23T23:15:00Z</dcterms:modified>
  <cp:category/>
</cp:coreProperties>
</file>