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160" w:before="0" w:line="680" w:lineRule="exact"/>
      </w:pPr>
      <w:r>
        <w:rPr>
          <w:rFonts w:ascii="Heiti SC" w:hAnsi="Heiti SC" w:eastAsia="Heiti SC"/>
          <w:sz w:val="48"/>
        </w:rPr>
        <w:t>AI 辅助有限元分析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AgentFEM 基础实验讲义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姓名：________________ 日期：________________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一、实验目的</w:t>
      </w:r>
    </w:p>
    <w:p>
      <w:pPr>
        <w:keepNext w:val="0"/>
        <w:widowControl/>
        <w:spacing w:after="160" w:before="0" w:line="340" w:lineRule="exact"/>
      </w:pPr>
      <w:r>
        <w:rPr>
          <w:rFonts w:ascii="Songti SC" w:hAnsi="Songti SC" w:eastAsia="Songti SC"/>
          <w:sz w:val="21"/>
        </w:rPr>
        <w:t>通过六个基本问题，学习描述有限元任务、检查建模条件，并用理论解或数值对比判断结果是否合理。无需预先编写程序，但应能识别几何、材料、约束、载荷及输出量。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二、运行准备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使用已接入本地 AgentFEM 的 AI 助手。先发送环境检查提示词：</w:t>
      </w:r>
    </w:p>
    <w:p>
      <w:pPr>
        <w:keepNext w:val="0"/>
        <w:widowControl/>
        <w:spacing w:after="160" w:before="100" w:line="300" w:lineRule="exact"/>
      </w:pPr>
      <w:r>
        <w:rPr>
          <w:rFonts w:ascii="Songti SC" w:hAnsi="Songti SC" w:eastAsia="Songti SC"/>
          <w:sz w:val="21"/>
        </w:rPr>
        <w:t>请先检查能否调用 AgentFEM，告诉我软件版本和项目保存位置。若需安装或配置，先征求我的同意。现在只检查环境，不开始仿真。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确认可用后，发送以下约定；等 AI 回复，再选择一道题发送。</w:t>
      </w:r>
    </w:p>
    <w:p>
      <w:pPr>
        <w:keepNext w:val="0"/>
        <w:widowControl/>
        <w:spacing w:after="160" w:before="100" w:line="300" w:lineRule="exact"/>
      </w:pPr>
      <w:r>
        <w:rPr>
          <w:rFonts w:ascii="Songti SC" w:hAnsi="Songti SC" w:eastAsia="Songti SC"/>
          <w:sz w:val="21"/>
        </w:rPr>
        <w:t>接下来我会发送题目。收到后，请新建 AgentFEM 项目，检查并运行，保留模型和结果。完成后只展示一张结果图、关键数值与单位，并用两三句话解释，不展开长篇分析。缺少必要条件或无法运行时请说明。现在只回复“准备好了，请发送题目”，不要开始计算或猜测题目。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三、实验步骤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• 阅读题目，预判结果方向和量级；发送本题提示词，检查图、数值和单位。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• 完成参数对比或步长检查，填写实验记录，独立解释结果。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• 最后核对末尾参考解答；差异较大时先检查条件，再加密网格或减小步长。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四、练习安排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00"/>
        <w:gridCol w:w="4400"/>
        <w:gridCol w:w="4680"/>
      </w:tblGrid>
      <w:tr>
        <w:trPr>
          <w:tblHeader/>
        </w:trPr>
        <w:tc>
          <w:tcPr>
            <w:tcW w:type="dxa" w:w="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序号</w:t>
            </w:r>
          </w:p>
        </w:tc>
        <w:tc>
          <w:tcPr>
            <w:tcW w:type="dxa" w:w="4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练习</w:t>
            </w:r>
          </w:p>
        </w:tc>
        <w:tc>
          <w:tcPr>
            <w:tcW w:type="dxa" w:w="4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主要核对方法</w:t>
            </w:r>
          </w:p>
        </w:tc>
      </w:tr>
      <w:tr>
        <w:tc>
          <w:tcPr>
            <w:tcW w:type="dxa" w:w="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1</w:t>
            </w:r>
          </w:p>
        </w:tc>
        <w:tc>
          <w:tcPr>
            <w:tcW w:type="dxa" w:w="4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悬臂梁的静力变形</w:t>
            </w:r>
          </w:p>
        </w:tc>
        <w:tc>
          <w:tcPr>
            <w:tcW w:type="dxa" w:w="4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梁理论；载荷比例</w:t>
            </w:r>
          </w:p>
        </w:tc>
      </w:tr>
      <w:tr>
        <w:tc>
          <w:tcPr>
            <w:tcW w:type="dxa" w:w="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2</w:t>
            </w:r>
          </w:p>
        </w:tc>
        <w:tc>
          <w:tcPr>
            <w:tcW w:type="dxa" w:w="4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厚壁圆筒的内压响应</w:t>
            </w:r>
          </w:p>
        </w:tc>
        <w:tc>
          <w:tcPr>
            <w:tcW w:type="dxa" w:w="4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拉梅解</w:t>
            </w:r>
          </w:p>
        </w:tc>
      </w:tr>
      <w:tr>
        <w:tc>
          <w:tcPr>
            <w:tcW w:type="dxa" w:w="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3</w:t>
            </w:r>
          </w:p>
        </w:tc>
        <w:tc>
          <w:tcPr>
            <w:tcW w:type="dxa" w:w="4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矩形板的稳态导热</w:t>
            </w:r>
          </w:p>
        </w:tc>
        <w:tc>
          <w:tcPr>
            <w:tcW w:type="dxa" w:w="4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线性温度分布；傅里叶定律</w:t>
            </w:r>
          </w:p>
        </w:tc>
      </w:tr>
      <w:tr>
        <w:tc>
          <w:tcPr>
            <w:tcW w:type="dxa" w:w="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4</w:t>
            </w:r>
          </w:p>
        </w:tc>
        <w:tc>
          <w:tcPr>
            <w:tcW w:type="dxa" w:w="4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矩形板的瞬态升温</w:t>
            </w:r>
          </w:p>
        </w:tc>
        <w:tc>
          <w:tcPr>
            <w:tcW w:type="dxa" w:w="4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解析级数；时间步长比较</w:t>
            </w:r>
          </w:p>
        </w:tc>
      </w:tr>
      <w:tr>
        <w:tc>
          <w:tcPr>
            <w:tcW w:type="dxa" w:w="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5</w:t>
            </w:r>
          </w:p>
        </w:tc>
        <w:tc>
          <w:tcPr>
            <w:tcW w:type="dxa" w:w="4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压杆的受压响应</w:t>
            </w:r>
          </w:p>
        </w:tc>
        <w:tc>
          <w:tcPr>
            <w:tcW w:type="dxa" w:w="4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载荷曲线；欧拉临界载荷</w:t>
            </w:r>
          </w:p>
        </w:tc>
      </w:tr>
      <w:tr>
        <w:tc>
          <w:tcPr>
            <w:tcW w:type="dxa" w:w="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6</w:t>
            </w:r>
          </w:p>
        </w:tc>
        <w:tc>
          <w:tcPr>
            <w:tcW w:type="dxa" w:w="4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内凹蜂窝的拉伸响应</w:t>
            </w:r>
          </w:p>
        </w:tc>
        <w:tc>
          <w:tcPr>
            <w:tcW w:type="dxa" w:w="4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实心板对照；变形动画</w:t>
            </w:r>
          </w:p>
        </w:tc>
      </w:tr>
    </w:tbl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每题至少保留建模文件、关键数值表和一张结果图。使用一致的单位制，展示时按题目要求换算为 mm、μm 或 ℃。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配置资料：</w:t>
      </w:r>
      <w:hyperlink r:id="rId11">
        <w:r>
          <w:rPr>
            <w:color w:val="336B85"/>
          </w:rPr>
          <w:t>AgentFEM 安装说明</w:t>
        </w:r>
      </w:hyperlink>
      <w:r>
        <w:rPr>
          <w:rFonts w:ascii="Songti SC" w:hAnsi="Songti SC" w:eastAsia="Songti SC"/>
          <w:sz w:val="17"/>
        </w:rPr>
        <w:t>。Windows 使用 WSL2。</w:t>
      </w:r>
    </w:p>
    <w:p>
      <w:r>
        <w:br w:type="page"/>
      </w:r>
    </w:p>
    <w:p>
      <w:pPr>
        <w:pStyle w:val="Heading1"/>
        <w:keepNext/>
        <w:widowControl/>
        <w:spacing w:after="160" w:before="0" w:line="540" w:lineRule="exact"/>
      </w:pPr>
      <w:r>
        <w:rPr>
          <w:rFonts w:ascii="Heiti SC" w:hAnsi="Heiti SC" w:eastAsia="Heiti SC"/>
          <w:sz w:val="36"/>
        </w:rPr>
        <w:t>实验 1 悬臂梁的静力变形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建立线弹性模型；区分真实位移与显示放大；检验载荷与位移的比例关系。</w:t>
      </w:r>
    </w:p>
    <w:p>
      <w:pPr>
        <w:spacing w:after="60" w:line="240" w:lineRule="auto" w:before="0"/>
        <w:jc w:val="center"/>
      </w:pPr>
      <w:r>
        <w:drawing>
          <wp:inline xmlns:a="http://schemas.openxmlformats.org/drawingml/2006/main" xmlns:pic="http://schemas.openxmlformats.org/drawingml/2006/picture">
            <wp:extent cx="6337300" cy="1425372"/>
            <wp:docPr id="1" name="Picture 1" descr="实验 1 模型与边界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ram-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1425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问题条件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00"/>
        <w:gridCol w:w="8180"/>
      </w:tblGrid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几何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长度 L = 200 mm；高度 h = 20 mm；厚度 b = 10 mm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材料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E = 210 GPa；ν = 0.30；均匀各向同性线弹性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约束与载荷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左端固定；右端均匀分布向下的总力 F = 200 N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模型假设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二维平面应力、小变形；忽略重力</w:t>
            </w:r>
          </w:p>
        </w:tc>
      </w:tr>
    </w:tbl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建模提示词</w:t>
      </w:r>
    </w:p>
    <w:p>
      <w:pPr>
        <w:keepNext w:val="0"/>
        <w:widowControl/>
        <w:spacing w:after="160" w:before="100" w:line="300" w:lineRule="exact"/>
      </w:pPr>
      <w:r>
        <w:rPr>
          <w:rFonts w:ascii="Songti SC" w:hAnsi="Songti SC" w:eastAsia="Songti SC"/>
          <w:sz w:val="21"/>
        </w:rPr>
        <w:t>请用 AgentFEM 算一根钢悬臂梁：长 200 mm、高 20 mm、厚 10 mm，弹性模量 210 GPa、泊松比 0.3。左端固定，右端面均布向下的总力 200 N。采用二维平面应力、小变形线弹性，忽略重力。给我变形图和右端中点下沉量（mm），图上注明变形放大倍数。</w:t>
      </w:r>
    </w:p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实验任务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1. 运行基准模型，记录右端中点下沉量，并检查位移方向是否与载荷一致。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2. 将总力改为 400 N，其余条件不变。计算两次下沉量之比。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3. 使用悬臂梁理论估算端部挠度，与有限元结果比较；说明差异可能来自哪里。</w:t>
      </w:r>
    </w:p>
    <w:p>
      <w:pPr>
        <w:pStyle w:val="Heading2"/>
        <w:keepNext/>
        <w:widowControl/>
        <w:spacing w:after="100" w:before="0" w:line="300" w:lineRule="exact"/>
      </w:pPr>
      <w:r>
        <w:rPr>
          <w:rFonts w:ascii="Heiti SC" w:hAnsi="Heiti SC" w:eastAsia="Heiti SC"/>
          <w:sz w:val="18"/>
        </w:rPr>
        <w:t>对比计算提示词</w:t>
      </w:r>
    </w:p>
    <w:p>
      <w:pPr>
        <w:keepNext w:val="0"/>
        <w:widowControl/>
        <w:spacing w:after="160" w:before="100" w:line="300" w:lineRule="exact"/>
      </w:pPr>
      <w:r>
        <w:rPr>
          <w:rFonts w:ascii="Songti SC" w:hAnsi="Songti SC" w:eastAsia="Songti SC"/>
          <w:sz w:val="21"/>
        </w:rPr>
        <w:t>把总力改成 400 N，其他不变，再算一次。比较两次端部下沉量及其比值，用梁理论解释结果。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提交：变形图一张；载荷与端部位移对照表；理论核对及简短结论。</w:t>
      </w:r>
    </w:p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实验记录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200 N：________ mm 400 N：________ mm 比值：________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理论挠度：________ mm 相对差异：________ %</w:t>
      </w:r>
    </w:p>
    <w:p>
      <w:r>
        <w:br w:type="page"/>
      </w:r>
    </w:p>
    <w:p>
      <w:pPr>
        <w:pStyle w:val="Heading1"/>
        <w:keepNext/>
        <w:widowControl/>
        <w:spacing w:after="160" w:before="0" w:line="540" w:lineRule="exact"/>
      </w:pPr>
      <w:r>
        <w:rPr>
          <w:rFonts w:ascii="Heiti SC" w:hAnsi="Heiti SC" w:eastAsia="Heiti SC"/>
          <w:sz w:val="36"/>
        </w:rPr>
        <w:t>实验 2 厚壁圆筒的内压响应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建立轴对称模型；读取径向位移；用拉梅解核对计算结果。</w:t>
      </w:r>
    </w:p>
    <w:p>
      <w:pPr>
        <w:spacing w:after="60" w:line="240" w:lineRule="auto" w:before="0"/>
        <w:jc w:val="center"/>
      </w:pPr>
      <w:r>
        <w:drawing>
          <wp:inline xmlns:a="http://schemas.openxmlformats.org/drawingml/2006/main" xmlns:pic="http://schemas.openxmlformats.org/drawingml/2006/picture">
            <wp:extent cx="6337300" cy="1425372"/>
            <wp:docPr id="2" name="Picture 2" descr="实验 2 模型与边界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ram-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1425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问题条件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00"/>
        <w:gridCol w:w="8180"/>
      </w:tblGrid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几何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内半径 a = 25 mm；外半径 b = 50 mm；取轴向长度 100 mm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材料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E = 210 GPa；ν = 0.30；均匀各向同性线弹性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载荷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内压 p = 10 MPa；外表面压力为零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模型假设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轴对称、轴向平面应变；全域轴向位移 u_z = 0</w:t>
            </w:r>
          </w:p>
        </w:tc>
      </w:tr>
    </w:tbl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建模提示词</w:t>
      </w:r>
    </w:p>
    <w:p>
      <w:pPr>
        <w:keepNext w:val="0"/>
        <w:widowControl/>
        <w:spacing w:after="160" w:before="100" w:line="300" w:lineRule="exact"/>
      </w:pPr>
      <w:r>
        <w:rPr>
          <w:rFonts w:ascii="Songti SC" w:hAnsi="Songti SC" w:eastAsia="Songti SC"/>
          <w:sz w:val="21"/>
        </w:rPr>
        <w:t>请用 AgentFEM 算一个厚壁圆筒：内半径 25 mm、外半径 50 mm、长 100 mm，弹性模量 210 GPa、泊松比 0.3。内压 10 MPa，外壁径向自由，不加封头载荷。采用线弹性轴对称模型，全域轴向位移为零。给出内壁向外膨胀的位移（μm），画出从内壁到外壁的径向位移曲线，并与拉梅解析解对比。</w:t>
      </w:r>
    </w:p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实验任务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1. 运行基准模型，检查内压方向与径向位移方向。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2. 将外半径改为 60 mm，内半径与内压保持不变，比较内壁径向位移。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3. 计算两种外半径下的解析位移。解释为什么增加壁厚会改变内壁变形。</w:t>
      </w:r>
    </w:p>
    <w:p>
      <w:pPr>
        <w:pStyle w:val="Heading2"/>
        <w:keepNext/>
        <w:widowControl/>
        <w:spacing w:after="100" w:before="0" w:line="300" w:lineRule="exact"/>
      </w:pPr>
      <w:r>
        <w:rPr>
          <w:rFonts w:ascii="Heiti SC" w:hAnsi="Heiti SC" w:eastAsia="Heiti SC"/>
          <w:sz w:val="18"/>
        </w:rPr>
        <w:t>对比计算提示词</w:t>
      </w:r>
    </w:p>
    <w:p>
      <w:pPr>
        <w:keepNext w:val="0"/>
        <w:widowControl/>
        <w:spacing w:after="160" w:before="100" w:line="300" w:lineRule="exact"/>
      </w:pPr>
      <w:r>
        <w:rPr>
          <w:rFonts w:ascii="Songti SC" w:hAnsi="Songti SC" w:eastAsia="Songti SC"/>
          <w:sz w:val="21"/>
        </w:rPr>
        <w:t>把外半径改成 60 mm，其他不变，再算一次。比较两次内壁径向位移，用拉梅解核对，说明加厚筒壁的影响。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提交：径向位移曲线及解析解对照图；两种壁厚的内壁位移表。</w:t>
      </w:r>
    </w:p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实验记录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外半径 50 mm：________ μm 外半径 60 mm：________ μm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内壁位移降低：________ %</w:t>
      </w:r>
    </w:p>
    <w:p>
      <w:r>
        <w:br w:type="page"/>
      </w:r>
    </w:p>
    <w:p>
      <w:pPr>
        <w:pStyle w:val="Heading1"/>
        <w:keepNext/>
        <w:widowControl/>
        <w:spacing w:after="160" w:before="0" w:line="540" w:lineRule="exact"/>
      </w:pPr>
      <w:r>
        <w:rPr>
          <w:rFonts w:ascii="Heiti SC" w:hAnsi="Heiti SC" w:eastAsia="Heiti SC"/>
          <w:sz w:val="36"/>
        </w:rPr>
        <w:t>实验 3 矩形板的稳态导热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理解温度边界与绝热边界；区分温度分布和热流密度。</w:t>
      </w:r>
    </w:p>
    <w:p>
      <w:pPr>
        <w:spacing w:after="60" w:line="240" w:lineRule="auto" w:before="0"/>
        <w:jc w:val="center"/>
      </w:pPr>
      <w:r>
        <w:drawing>
          <wp:inline xmlns:a="http://schemas.openxmlformats.org/drawingml/2006/main" xmlns:pic="http://schemas.openxmlformats.org/drawingml/2006/picture">
            <wp:extent cx="6337300" cy="1425372"/>
            <wp:docPr id="3" name="Picture 3" descr="实验 3 模型与边界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ram-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1425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问题条件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00"/>
        <w:gridCol w:w="8180"/>
      </w:tblGrid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几何与材料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矩形板 100 mm × 40 mm；均匀导热系数 k = 45 W/(m·K)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温度边界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左边 100 ℃；右边 20 ℃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其余条件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其余边界绝热；无内部热源；二维稳态导热</w:t>
            </w:r>
          </w:p>
        </w:tc>
      </w:tr>
    </w:tbl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建模提示词</w:t>
      </w:r>
    </w:p>
    <w:p>
      <w:pPr>
        <w:keepNext w:val="0"/>
        <w:widowControl/>
        <w:spacing w:after="160" w:before="100" w:line="300" w:lineRule="exact"/>
      </w:pPr>
      <w:r>
        <w:rPr>
          <w:rFonts w:ascii="Songti SC" w:hAnsi="Songti SC" w:eastAsia="Songti SC"/>
          <w:sz w:val="21"/>
        </w:rPr>
        <w:t>请用 AgentFEM 做二维稳态导热：金属板长 100 mm、高 40 mm，均匀导热系数 45 W/(m·K)。左边保持 100 ℃，右边保持 20 ℃，其余边界绝热，没有内部热源。给我温度云图、中心温度（℃）、水平中线温度曲线和向右的热流密度（W/m²）。</w:t>
      </w:r>
    </w:p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实验任务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1. 记录中心温度，判断沿长度方向的温度曲线形状。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2. 将导热系数改为 90 W/(m·K)，保持边界条件不变，比较温度和热流密度。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3. 根据一维稳态导热方程写出温度分布，并用傅里叶定律计算热流密度。</w:t>
      </w:r>
    </w:p>
    <w:p>
      <w:pPr>
        <w:pStyle w:val="Heading2"/>
        <w:keepNext/>
        <w:widowControl/>
        <w:spacing w:after="100" w:before="0" w:line="300" w:lineRule="exact"/>
      </w:pPr>
      <w:r>
        <w:rPr>
          <w:rFonts w:ascii="Heiti SC" w:hAnsi="Heiti SC" w:eastAsia="Heiti SC"/>
          <w:sz w:val="18"/>
        </w:rPr>
        <w:t>对比计算提示词</w:t>
      </w:r>
    </w:p>
    <w:p>
      <w:pPr>
        <w:keepNext w:val="0"/>
        <w:widowControl/>
        <w:spacing w:after="160" w:before="100" w:line="300" w:lineRule="exact"/>
      </w:pPr>
      <w:r>
        <w:rPr>
          <w:rFonts w:ascii="Songti SC" w:hAnsi="Songti SC" w:eastAsia="Songti SC"/>
          <w:sz w:val="21"/>
        </w:rPr>
        <w:t>把导热系数改成 90 W/(m·K)，其他不变，再算一次。比较温度分布和热流密度，用傅里叶定律解释结果。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提交：温度云图；两种导热系数的中心温度与热流密度表；解析核对。</w:t>
      </w:r>
    </w:p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实验记录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k = 45：中心温度 ________ ℃；热流密度 ________ W/m²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k = 90：中心温度 ________ ℃；热流密度 ________ W/m²</w:t>
      </w:r>
    </w:p>
    <w:p>
      <w:r>
        <w:br w:type="page"/>
      </w:r>
    </w:p>
    <w:p>
      <w:pPr>
        <w:pStyle w:val="Heading1"/>
        <w:keepNext/>
        <w:widowControl/>
        <w:spacing w:after="160" w:before="0" w:line="540" w:lineRule="exact"/>
      </w:pPr>
      <w:r>
        <w:rPr>
          <w:rFonts w:ascii="Heiti SC" w:hAnsi="Heiti SC" w:eastAsia="Heiti SC"/>
          <w:sz w:val="36"/>
        </w:rPr>
        <w:t>实验 4 矩形板的瞬态升温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读取温度时间历程；比较瞬态与稳态；检验时间步长的影响。</w:t>
      </w:r>
    </w:p>
    <w:p>
      <w:pPr>
        <w:spacing w:after="60" w:line="240" w:lineRule="auto" w:before="0"/>
        <w:jc w:val="center"/>
      </w:pPr>
      <w:r>
        <w:drawing>
          <wp:inline xmlns:a="http://schemas.openxmlformats.org/drawingml/2006/main" xmlns:pic="http://schemas.openxmlformats.org/drawingml/2006/picture">
            <wp:extent cx="6337300" cy="1425372"/>
            <wp:docPr id="4" name="Picture 4" descr="实验 4 模型与边界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ram-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1425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问题条件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00"/>
        <w:gridCol w:w="8180"/>
      </w:tblGrid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几何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矩形板 100 mm × 40 mm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材料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k = 45 W/(m·K)；ρ = 7800 kg/m³；c = 500 J/(kg·K)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初始与边界条件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初温 20 ℃；从 0 秒之后左边保持 100 ℃、右边保持 20 ℃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其余条件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其余边界绝热；无内部热源；材料参数保持常数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时间离散</w:t>
            </w:r>
          </w:p>
        </w:tc>
        <w:tc>
          <w:tcPr>
            <w:tcW w:type="dxa" w:w="8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计算至 600 s；隐式 Euler；初始时间步长 Δt = 2 s</w:t>
            </w:r>
          </w:p>
        </w:tc>
      </w:tr>
    </w:tbl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建模提示词</w:t>
      </w:r>
    </w:p>
    <w:p>
      <w:pPr>
        <w:keepNext w:val="0"/>
        <w:widowControl/>
        <w:spacing w:after="160" w:before="100" w:line="300" w:lineRule="exact"/>
      </w:pPr>
      <w:r>
        <w:rPr>
          <w:rFonts w:ascii="Songti SC" w:hAnsi="Songti SC" w:eastAsia="Songti SC"/>
          <w:sz w:val="21"/>
        </w:rPr>
        <w:t>请用 AgentFEM 算二维金属板升温：长 100 mm、高 40 mm，初温 20 ℃。导热系数 45 W/(m·K)、密度 7800 kg/m³、比热 500 J/(kg·K)，均保持常数。开始加热后左边保持 100 ℃、右边保持 20 ℃，其余边界绝热，无内部热源。用隐式 Euler、2 秒步长算到 600 秒。给我中心温度曲线及数据表（℃），每 10 秒保存一帧 ParaView 可播放的温度场。</w:t>
      </w:r>
    </w:p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实验任务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1. 绘制中心温度随时间的曲线，记录 60、120、300、600 s 的温度。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2. 将时间步长减为 1 s，网格与其他设置不变；比较共同采样时刻的温度差。</w:t>
      </w:r>
    </w:p>
    <w:p>
      <w:pPr>
        <w:keepNext w:val="0"/>
        <w:widowControl/>
        <w:spacing w:after="100" w:before="0" w:line="300" w:lineRule="exact"/>
      </w:pPr>
      <w:r>
        <w:rPr>
          <w:rFonts w:ascii="Songti SC" w:hAnsi="Songti SC" w:eastAsia="Songti SC"/>
          <w:sz w:val="21"/>
        </w:rPr>
        <w:t>3. 与练习 3 的稳态解比较，说明 600 s 时是否已足够接近稳态，并给出判断依据。</w:t>
      </w:r>
    </w:p>
    <w:p>
      <w:pPr>
        <w:pStyle w:val="Heading2"/>
        <w:keepNext/>
        <w:widowControl/>
        <w:spacing w:after="100" w:before="0" w:line="300" w:lineRule="exact"/>
      </w:pPr>
      <w:r>
        <w:rPr>
          <w:rFonts w:ascii="Heiti SC" w:hAnsi="Heiti SC" w:eastAsia="Heiti SC"/>
          <w:sz w:val="18"/>
        </w:rPr>
        <w:t>对比计算提示词</w:t>
      </w:r>
    </w:p>
    <w:p>
      <w:pPr>
        <w:keepNext w:val="0"/>
        <w:widowControl/>
        <w:spacing w:after="160" w:before="100" w:line="300" w:lineRule="exact"/>
      </w:pPr>
      <w:r>
        <w:rPr>
          <w:rFonts w:ascii="Songti SC" w:hAnsi="Songti SC" w:eastAsia="Songti SC"/>
          <w:sz w:val="21"/>
        </w:rPr>
        <w:t>将时间步长减到 1 秒，网格和其他条件不变，再算一次。叠加两条中心温度曲线，比较共同采样时刻的最大温差和 600 秒时的温差，判断原步长是否足够。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提交：两种时间步长的温度曲线；四个时刻的温度表；时间序列文件及步长检查结论。</w:t>
      </w:r>
    </w:p>
    <w:p>
      <w:pPr>
        <w:pStyle w:val="Heading2"/>
        <w:keepNext/>
        <w:widowControl/>
        <w:spacing w:after="100" w:before="100" w:line="320" w:lineRule="exact"/>
      </w:pPr>
      <w:r>
        <w:rPr>
          <w:rFonts w:ascii="Heiti SC" w:hAnsi="Heiti SC" w:eastAsia="Heiti SC"/>
          <w:sz w:val="24"/>
        </w:rPr>
        <w:t>实验记录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60 s：________ ℃ 120 s：________ ℃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300 s：________ ℃ 600 s：________ ℃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两种步长最大温差：________ ℃</w:t>
      </w:r>
    </w:p>
    <w:p>
      <w:r>
        <w:br w:type="page"/>
      </w:r>
    </w:p>
    <w:p>
      <w:pPr>
        <w:pStyle w:val="Heading1"/>
        <w:keepNext/>
        <w:widowControl/>
        <w:spacing w:after="160" w:before="0" w:line="540" w:lineRule="exact"/>
      </w:pPr>
      <w:r>
        <w:rPr>
          <w:rFonts w:ascii="Heiti SC" w:hAnsi="Heiti SC" w:eastAsia="Heiti SC"/>
          <w:sz w:val="36"/>
        </w:rPr>
        <w:t>实验 5 压杆的受压响应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慢慢加大压力，杆端的侧向位移会一直按比例增加吗？画出载荷与侧向位移的关系，看看接近欧拉临界载荷时发生了什么。</w:t>
      </w:r>
    </w:p>
    <w:p>
      <w:pPr>
        <w:spacing w:after="60" w:line="240" w:lineRule="auto" w:before="0"/>
        <w:jc w:val="center"/>
      </w:pPr>
      <w:r>
        <w:drawing>
          <wp:inline xmlns:a="http://schemas.openxmlformats.org/drawingml/2006/main" xmlns:pic="http://schemas.openxmlformats.org/drawingml/2006/picture">
            <wp:extent cx="5842000" cy="1525411"/>
            <wp:docPr id="5" name="Picture 5" descr="column-setup 参考结果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umn-setu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1525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运行条件：支持几何非线性与平面应力 StVK 材料的新版 AgentFEM。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建模提示词</w:t>
      </w:r>
    </w:p>
    <w:p>
      <w:pPr>
        <w:keepNext w:val="0"/>
        <w:widowControl/>
        <w:spacing w:after="160" w:before="100" w:line="340" w:lineRule="exact"/>
      </w:pPr>
      <w:r>
        <w:rPr>
          <w:rFonts w:ascii="Songti SC" w:hAnsi="Songti SC" w:eastAsia="Songti SC"/>
          <w:sz w:val="21"/>
        </w:rPr>
        <w:t>请用 AgentFEM 模拟细杆逐步受压：长 200 mm，截面 10×10 mm，E=210 GPa、泊松比 0.3。左端固定，右端受沿原轴线方向的均布压力，其余边界自由。采用线弹性材料，考虑几何非线性；加入幅值 0.1 mm 的一阶屈曲形状作为初始弯曲。将总压力从 0 逐步加到 10.7 kN，画出载荷与端部侧向位移的关系，与欧拉临界载荷比较。展示几个载荷下的变形图，用两三句话解释。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再问一句</w:t>
      </w:r>
    </w:p>
    <w:p>
      <w:pPr>
        <w:keepNext w:val="0"/>
        <w:widowControl/>
        <w:spacing w:after="160" w:before="100" w:line="340" w:lineRule="exact"/>
      </w:pPr>
      <w:r>
        <w:rPr>
          <w:rFonts w:ascii="Songti SC" w:hAnsi="Songti SC" w:eastAsia="Songti SC"/>
          <w:sz w:val="21"/>
        </w:rPr>
        <w:t>把初始弯曲幅值从 0.1 mm 改成 0.2 mm，其他条件不变。将两条载荷—侧向位移曲线画在同一张图上，比较相同载荷下的弯曲程度。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实验记录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欧拉临界载荷：________ kN 9 kN 时侧移：________ mm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接近临界载荷时，曲线怎样变化？________________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提交：一张对比图、关键数值及两三句话解释。</w:t>
      </w:r>
    </w:p>
    <w:p>
      <w:r>
        <w:br w:type="page"/>
      </w:r>
    </w:p>
    <w:p>
      <w:pPr>
        <w:pStyle w:val="Heading1"/>
        <w:keepNext/>
        <w:widowControl/>
        <w:spacing w:after="160" w:before="0" w:line="540" w:lineRule="exact"/>
      </w:pPr>
      <w:r>
        <w:rPr>
          <w:rFonts w:ascii="Heiti SC" w:hAnsi="Heiti SC" w:eastAsia="Heiti SC"/>
          <w:sz w:val="36"/>
        </w:rPr>
        <w:t>实验 6 内凹蜂窝的拉伸响应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实心板被拉长时通常会变窄。换成内凹蜂窝，使用相同材料，它却可以同时变宽。先下载网格包，解压后把文件夹交给 AI 助手。</w:t>
      </w:r>
    </w:p>
    <w:p>
      <w:pPr>
        <w:spacing w:after="60" w:line="240" w:lineRule="auto" w:before="0"/>
        <w:jc w:val="center"/>
      </w:pPr>
      <w:r>
        <w:drawing>
          <wp:inline xmlns:a="http://schemas.openxmlformats.org/drawingml/2006/main" xmlns:pic="http://schemas.openxmlformats.org/drawingml/2006/picture">
            <wp:extent cx="5842000" cy="2155976"/>
            <wp:docPr id="6" name="Picture 6" descr="honeycomb-setup 参考结果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neycomb-setup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2155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先下载并解压附件，将 honeycomb.msh 所在文件夹交给 AI。坐标单位为米。</w:t>
      </w:r>
    </w:p>
    <w:p>
      <w:pPr>
        <w:pStyle w:val="Caption"/>
        <w:keepNext w:val="0"/>
        <w:widowControl/>
        <w:spacing w:after="60" w:before="0" w:line="220" w:lineRule="exact"/>
      </w:pPr>
      <w:hyperlink r:id="rId18">
        <w:r>
          <w:rPr>
            <w:color w:val="336B85"/>
          </w:rPr>
          <w:t>https://lab.haoming-luo.com/learn/files/honeycomb.zip</w:t>
        </w:r>
      </w:hyperlink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建模提示词</w:t>
      </w:r>
    </w:p>
    <w:p>
      <w:pPr>
        <w:keepNext w:val="0"/>
        <w:widowControl/>
        <w:spacing w:after="160" w:before="100" w:line="340" w:lineRule="exact"/>
      </w:pPr>
      <w:r>
        <w:rPr>
          <w:rFonts w:ascii="Songti SC" w:hAnsi="Songti SC" w:eastAsia="Songti SC"/>
          <w:sz w:val="21"/>
        </w:rPr>
        <w:t>请用 AgentFEM 导入附件 honeycomb.msh，不重新绘制几何。坐标单位为米，宽 51.9615 mm、高 60 mm；边界标签 11/12/13/14 分别为左/右/下/上。采用二维平面应力、小变形线弹性，E=1 GPa、泊松比 0.3，忽略重力。左侧水平位移为零，右侧水平拉伸宽度的 0.1%，竖向自由，仅固定左边界最下端节点的竖向位移（蜂窝坐标为 x=0、y=5 mm；实心板为左下角）。用四侧边界平均位移计算轴向、横向应变及表观泊松比。与相同尺寸、材料和约束的实心板并排画变形图，叠加原形轮廓，位移统一放大 100 倍并注明。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再问一句</w:t>
      </w:r>
    </w:p>
    <w:p>
      <w:pPr>
        <w:keepNext w:val="0"/>
        <w:widowControl/>
        <w:spacing w:after="160" w:before="100" w:line="340" w:lineRule="exact"/>
      </w:pPr>
      <w:r>
        <w:rPr>
          <w:rFonts w:ascii="Songti SC" w:hAnsi="Songti SC" w:eastAsia="Songti SC"/>
          <w:sz w:val="21"/>
        </w:rPr>
        <w:t>用这次结果生成蜂窝与实心板同步拉伸、回到原形的循环 GIF。固定视角和坐标范围，位移统一放大 100 倍并注明，保留原形轮廓。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实验记录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蜂窝：轴向应变 ________ 横向应变 ________ 表观泊松比 ________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实心板泊松比：________ GIF 文件：________________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提交：一张对比图、关键数值及两三句话解释。</w:t>
      </w:r>
    </w:p>
    <w:p>
      <w:r>
        <w:br w:type="page"/>
      </w:r>
    </w:p>
    <w:p>
      <w:pPr>
        <w:pStyle w:val="Heading1"/>
        <w:keepNext/>
        <w:widowControl/>
        <w:spacing w:after="160" w:before="0" w:line="540" w:lineRule="exact"/>
      </w:pPr>
      <w:r>
        <w:rPr>
          <w:rFonts w:ascii="Heiti SC" w:hAnsi="Heiti SC" w:eastAsia="Heiti SC"/>
          <w:sz w:val="36"/>
        </w:rPr>
        <w:t>参考解答（一）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建议完成实验记录后再核对。表中数值用于核查量级与趋势，不要求不同网格逐位一致。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1 悬臂梁</w:t>
      </w:r>
    </w:p>
    <w:p>
      <w:pPr>
        <w:keepNext w:val="0"/>
        <w:widowControl/>
        <w:spacing w:after="160" w:before="0" w:line="340" w:lineRule="exact"/>
      </w:pPr>
      <w:r>
        <w:rPr>
          <w:rFonts w:ascii="Songti SC" w:hAnsi="Songti SC" w:eastAsia="Songti SC"/>
          <w:sz w:val="21"/>
        </w:rPr>
        <w:t>矩形截面惯性矩与 Euler–Bernoulli 梁的端部挠度为：</w:t>
      </w:r>
    </w:p>
    <w:p>
      <w:pPr>
        <w:keepNext w:val="0"/>
        <w:widowControl/>
        <w:spacing w:after="160" w:before="0" w:line="380" w:lineRule="exact"/>
      </w:pPr>
      <w:r>
        <w:rPr>
          <w:rFonts w:ascii="Songti SC" w:hAnsi="Songti SC" w:eastAsia="Songti SC"/>
          <w:sz w:val="22"/>
        </w:rPr>
        <w:t>I = bh</w:t>
      </w:r>
      <w:r>
        <w:rPr>
          <w:rFonts w:ascii="Songti SC" w:hAnsi="Songti SC" w:eastAsia="Songti SC"/>
          <w:sz w:val="22"/>
          <w:vertAlign w:val="superscript"/>
        </w:rPr>
        <w:t>3</w:t>
      </w:r>
      <w:r>
        <w:rPr>
          <w:rFonts w:ascii="Songti SC" w:hAnsi="Songti SC" w:eastAsia="Songti SC"/>
          <w:sz w:val="22"/>
        </w:rPr>
        <w:t>/12 = 6.667 × 10</w:t>
      </w:r>
      <w:r>
        <w:rPr>
          <w:rFonts w:ascii="Songti SC" w:hAnsi="Songti SC" w:eastAsia="Songti SC"/>
          <w:sz w:val="22"/>
          <w:vertAlign w:val="superscript"/>
        </w:rPr>
        <w:t>−9</w:t>
      </w:r>
      <w:r>
        <w:rPr>
          <w:rFonts w:ascii="Songti SC" w:hAnsi="Songti SC" w:eastAsia="Songti SC"/>
          <w:sz w:val="22"/>
        </w:rPr>
        <w:t xml:space="preserve"> m</w:t>
      </w:r>
      <w:r>
        <w:rPr>
          <w:rFonts w:ascii="Songti SC" w:hAnsi="Songti SC" w:eastAsia="Songti SC"/>
          <w:sz w:val="22"/>
          <w:vertAlign w:val="superscript"/>
        </w:rPr>
        <w:t>4</w:t>
      </w:r>
      <w:r>
        <w:rPr>
          <w:rFonts w:ascii="Songti SC" w:hAnsi="Songti SC" w:eastAsia="Songti SC"/>
          <w:sz w:val="22"/>
        </w:rPr>
        <w:t>； δ = FL</w:t>
      </w:r>
      <w:r>
        <w:rPr>
          <w:rFonts w:ascii="Songti SC" w:hAnsi="Songti SC" w:eastAsia="Songti SC"/>
          <w:sz w:val="22"/>
          <w:vertAlign w:val="superscript"/>
        </w:rPr>
        <w:t>3</w:t>
      </w:r>
      <w:r>
        <w:rPr>
          <w:rFonts w:ascii="Songti SC" w:hAnsi="Songti SC" w:eastAsia="Songti SC"/>
          <w:sz w:val="22"/>
        </w:rPr>
        <w:t>/(3EI)。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00"/>
        <w:gridCol w:w="3400"/>
        <w:gridCol w:w="4680"/>
      </w:tblGrid>
      <w:tr>
        <w:trPr>
          <w:tblHeader/>
        </w:trPr>
        <w:tc>
          <w:tcPr>
            <w:tcW w:type="dxa" w:w="1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总力</w:t>
            </w:r>
          </w:p>
        </w:tc>
        <w:tc>
          <w:tcPr>
            <w:tcW w:type="dxa" w:w="3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梁理论 / mm</w:t>
            </w:r>
          </w:p>
        </w:tc>
        <w:tc>
          <w:tcPr>
            <w:tcW w:type="dxa" w:w="4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有限元或比例推算 / mm</w:t>
            </w:r>
          </w:p>
        </w:tc>
      </w:tr>
      <w:tr>
        <w:tc>
          <w:tcPr>
            <w:tcW w:type="dxa" w:w="1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200 N</w:t>
            </w:r>
          </w:p>
        </w:tc>
        <w:tc>
          <w:tcPr>
            <w:tcW w:type="dxa" w:w="3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0.381</w:t>
            </w:r>
          </w:p>
        </w:tc>
        <w:tc>
          <w:tcPr>
            <w:tcW w:type="dxa" w:w="4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0.383（有限元）</w:t>
            </w:r>
          </w:p>
        </w:tc>
      </w:tr>
      <w:tr>
        <w:tc>
          <w:tcPr>
            <w:tcW w:type="dxa" w:w="1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400 N</w:t>
            </w:r>
          </w:p>
        </w:tc>
        <w:tc>
          <w:tcPr>
            <w:tcW w:type="dxa" w:w="3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0.762</w:t>
            </w:r>
          </w:p>
        </w:tc>
        <w:tc>
          <w:tcPr>
            <w:tcW w:type="dxa" w:w="4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0.766（按线性比例推算）</w:t>
            </w:r>
          </w:p>
        </w:tc>
      </w:tr>
    </w:tbl>
    <w:p>
      <w:pPr>
        <w:spacing w:after="60" w:line="240" w:lineRule="auto" w:before="0"/>
        <w:jc w:val="center"/>
      </w:pPr>
      <w:r>
        <w:drawing>
          <wp:inline xmlns:a="http://schemas.openxmlformats.org/drawingml/2006/main" xmlns:pic="http://schemas.openxmlformats.org/drawingml/2006/picture">
            <wp:extent cx="4699000" cy="1255578"/>
            <wp:docPr id="7" name="Picture 7" descr="beam 参考结果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am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12555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图 1 基准梁的位移；虚线为原形，变形放大 15 倍。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端部向下位移在 y 向上为正时带负号，表中列下沉量的绝对值。基准有限元值比梁理论高约 0.59%；二维弹性解包含剪切及端部约束影响，梁理论属于近似。线弹性条件下，载荷翻倍时位移比例为 2。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2 厚壁圆筒</w:t>
      </w:r>
    </w:p>
    <w:p>
      <w:pPr>
        <w:keepNext w:val="0"/>
        <w:widowControl/>
        <w:spacing w:after="160" w:before="0" w:line="340" w:lineRule="exact"/>
      </w:pPr>
      <w:r>
        <w:rPr>
          <w:rFonts w:ascii="Songti SC" w:hAnsi="Songti SC" w:eastAsia="Songti SC"/>
          <w:sz w:val="21"/>
        </w:rPr>
        <w:t>对本题轴向平面应变、外压为零的圆筒，拉梅解为：</w:t>
      </w:r>
    </w:p>
    <w:p>
      <w:pPr>
        <w:keepNext w:val="0"/>
        <w:widowControl/>
        <w:spacing w:after="160" w:before="0" w:line="380" w:lineRule="exact"/>
      </w:pPr>
      <w:r>
        <w:rPr>
          <w:rFonts w:ascii="Songti SC" w:hAnsi="Songti SC" w:eastAsia="Songti SC"/>
          <w:sz w:val="22"/>
        </w:rPr>
        <w:t>A = pa</w:t>
      </w:r>
      <w:r>
        <w:rPr>
          <w:rFonts w:ascii="Songti SC" w:hAnsi="Songti SC" w:eastAsia="Songti SC"/>
          <w:sz w:val="22"/>
          <w:vertAlign w:val="superscript"/>
        </w:rPr>
        <w:t>2</w:t>
      </w:r>
      <w:r>
        <w:rPr>
          <w:rFonts w:ascii="Songti SC" w:hAnsi="Songti SC" w:eastAsia="Songti SC"/>
          <w:sz w:val="22"/>
        </w:rPr>
        <w:t>/(b</w:t>
      </w:r>
      <w:r>
        <w:rPr>
          <w:rFonts w:ascii="Songti SC" w:hAnsi="Songti SC" w:eastAsia="Songti SC"/>
          <w:sz w:val="22"/>
          <w:vertAlign w:val="superscript"/>
        </w:rPr>
        <w:t>2</w:t>
      </w:r>
      <w:r>
        <w:rPr>
          <w:rFonts w:ascii="Songti SC" w:hAnsi="Songti SC" w:eastAsia="Songti SC"/>
          <w:sz w:val="22"/>
        </w:rPr>
        <w:t xml:space="preserve"> − a</w:t>
      </w:r>
      <w:r>
        <w:rPr>
          <w:rFonts w:ascii="Songti SC" w:hAnsi="Songti SC" w:eastAsia="Songti SC"/>
          <w:sz w:val="22"/>
          <w:vertAlign w:val="superscript"/>
        </w:rPr>
        <w:t>2</w:t>
      </w:r>
      <w:r>
        <w:rPr>
          <w:rFonts w:ascii="Songti SC" w:hAnsi="Songti SC" w:eastAsia="Songti SC"/>
          <w:sz w:val="22"/>
        </w:rPr>
        <w:t>)； B = pa</w:t>
      </w:r>
      <w:r>
        <w:rPr>
          <w:rFonts w:ascii="Songti SC" w:hAnsi="Songti SC" w:eastAsia="Songti SC"/>
          <w:sz w:val="22"/>
          <w:vertAlign w:val="superscript"/>
        </w:rPr>
        <w:t>2</w:t>
      </w:r>
      <w:r>
        <w:rPr>
          <w:rFonts w:ascii="Songti SC" w:hAnsi="Songti SC" w:eastAsia="Songti SC"/>
          <w:sz w:val="22"/>
        </w:rPr>
        <w:t>b</w:t>
      </w:r>
      <w:r>
        <w:rPr>
          <w:rFonts w:ascii="Songti SC" w:hAnsi="Songti SC" w:eastAsia="Songti SC"/>
          <w:sz w:val="22"/>
          <w:vertAlign w:val="superscript"/>
        </w:rPr>
        <w:t>2</w:t>
      </w:r>
      <w:r>
        <w:rPr>
          <w:rFonts w:ascii="Songti SC" w:hAnsi="Songti SC" w:eastAsia="Songti SC"/>
          <w:sz w:val="22"/>
        </w:rPr>
        <w:t>/(b</w:t>
      </w:r>
      <w:r>
        <w:rPr>
          <w:rFonts w:ascii="Songti SC" w:hAnsi="Songti SC" w:eastAsia="Songti SC"/>
          <w:sz w:val="22"/>
          <w:vertAlign w:val="superscript"/>
        </w:rPr>
        <w:t>2</w:t>
      </w:r>
      <w:r>
        <w:rPr>
          <w:rFonts w:ascii="Songti SC" w:hAnsi="Songti SC" w:eastAsia="Songti SC"/>
          <w:sz w:val="22"/>
        </w:rPr>
        <w:t xml:space="preserve"> − a</w:t>
      </w:r>
      <w:r>
        <w:rPr>
          <w:rFonts w:ascii="Songti SC" w:hAnsi="Songti SC" w:eastAsia="Songti SC"/>
          <w:sz w:val="22"/>
          <w:vertAlign w:val="superscript"/>
        </w:rPr>
        <w:t>2</w:t>
      </w:r>
      <w:r>
        <w:rPr>
          <w:rFonts w:ascii="Songti SC" w:hAnsi="Songti SC" w:eastAsia="Songti SC"/>
          <w:sz w:val="22"/>
        </w:rPr>
        <w:t>)。</w:t>
      </w:r>
      <w:r>
        <w:rPr>
          <w:rFonts w:ascii="Songti SC" w:hAnsi="Songti SC" w:eastAsia="Songti SC"/>
          <w:sz w:val="22"/>
        </w:rPr>
        <w:br/>
      </w:r>
      <w:r>
        <w:rPr>
          <w:rFonts w:ascii="Songti SC" w:hAnsi="Songti SC" w:eastAsia="Songti SC"/>
          <w:sz w:val="22"/>
        </w:rPr>
        <w:t>u</w:t>
      </w:r>
      <w:r>
        <w:rPr>
          <w:rFonts w:ascii="Songti SC" w:hAnsi="Songti SC" w:eastAsia="Songti SC"/>
          <w:sz w:val="22"/>
          <w:vertAlign w:val="subscript"/>
        </w:rPr>
        <w:t>r</w:t>
      </w:r>
      <w:r>
        <w:rPr>
          <w:rFonts w:ascii="Songti SC" w:hAnsi="Songti SC" w:eastAsia="Songti SC"/>
          <w:sz w:val="22"/>
        </w:rPr>
        <w:t>(r) = [(1 + ν)/E] [(1 − 2ν)Ar + B/r]。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00"/>
        <w:gridCol w:w="3400"/>
        <w:gridCol w:w="4680"/>
      </w:tblGrid>
      <w:tr>
        <w:trPr>
          <w:tblHeader/>
        </w:trPr>
        <w:tc>
          <w:tcPr>
            <w:tcW w:type="dxa" w:w="1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外半径</w:t>
            </w:r>
          </w:p>
        </w:tc>
        <w:tc>
          <w:tcPr>
            <w:tcW w:type="dxa" w:w="3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内壁径向位移 / μm</w:t>
            </w:r>
          </w:p>
        </w:tc>
        <w:tc>
          <w:tcPr>
            <w:tcW w:type="dxa" w:w="4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数值来源</w:t>
            </w:r>
          </w:p>
        </w:tc>
      </w:tr>
      <w:tr>
        <w:tc>
          <w:tcPr>
            <w:tcW w:type="dxa" w:w="1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50 mm</w:t>
            </w:r>
          </w:p>
        </w:tc>
        <w:tc>
          <w:tcPr>
            <w:tcW w:type="dxa" w:w="3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2.270</w:t>
            </w:r>
          </w:p>
        </w:tc>
        <w:tc>
          <w:tcPr>
            <w:tcW w:type="dxa" w:w="4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解析解与基准有限元</w:t>
            </w:r>
          </w:p>
        </w:tc>
      </w:tr>
      <w:tr>
        <w:tc>
          <w:tcPr>
            <w:tcW w:type="dxa" w:w="1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60 mm</w:t>
            </w:r>
          </w:p>
        </w:tc>
        <w:tc>
          <w:tcPr>
            <w:tcW w:type="dxa" w:w="3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2.003</w:t>
            </w:r>
          </w:p>
        </w:tc>
        <w:tc>
          <w:tcPr>
            <w:tcW w:type="dxa" w:w="4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解析解</w:t>
            </w:r>
          </w:p>
        </w:tc>
      </w:tr>
    </w:tbl>
    <w:p>
      <w:pPr>
        <w:spacing w:after="60" w:line="240" w:lineRule="auto" w:before="0"/>
        <w:jc w:val="center"/>
      </w:pPr>
      <w:r>
        <w:drawing>
          <wp:inline xmlns:a="http://schemas.openxmlformats.org/drawingml/2006/main" xmlns:pic="http://schemas.openxmlformats.org/drawingml/2006/picture">
            <wp:extent cx="4699000" cy="1339900"/>
            <wp:docPr id="8" name="Picture 8" descr="cylinder 参考结果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ylinder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1339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图 2 基准圆筒沿壁厚的径向位移与拉梅解。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外半径从 50 mm 增至 60 mm，内壁径向位移降低约 11.76%。这里的轴向约束保持不变；自由伸长或带封头的圆筒不应直接套用上述位移公式。</w:t>
      </w:r>
    </w:p>
    <w:p>
      <w:r>
        <w:br w:type="page"/>
      </w:r>
    </w:p>
    <w:p>
      <w:pPr>
        <w:pStyle w:val="Heading1"/>
        <w:keepNext/>
        <w:widowControl/>
        <w:spacing w:after="160" w:before="0" w:line="540" w:lineRule="exact"/>
      </w:pPr>
      <w:r>
        <w:rPr>
          <w:rFonts w:ascii="Heiti SC" w:hAnsi="Heiti SC" w:eastAsia="Heiti SC"/>
          <w:sz w:val="36"/>
        </w:rPr>
        <w:t>参考解答（二）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3 稳态导热</w:t>
      </w:r>
    </w:p>
    <w:p>
      <w:pPr>
        <w:keepNext w:val="0"/>
        <w:widowControl/>
        <w:spacing w:after="160" w:before="0" w:line="340" w:lineRule="exact"/>
      </w:pPr>
      <w:r>
        <w:rPr>
          <w:rFonts w:ascii="Songti SC" w:hAnsi="Songti SC" w:eastAsia="Songti SC"/>
          <w:sz w:val="21"/>
        </w:rPr>
        <w:t>材料均匀、无内热源且上下绝热，温度只随 x 变化。令 L = 0.1 m，x 从左向右，则：</w:t>
      </w:r>
    </w:p>
    <w:p>
      <w:pPr>
        <w:keepNext w:val="0"/>
        <w:widowControl/>
        <w:spacing w:after="160" w:before="0" w:line="380" w:lineRule="exact"/>
      </w:pPr>
      <w:r>
        <w:rPr>
          <w:rFonts w:ascii="Songti SC" w:hAnsi="Songti SC" w:eastAsia="Songti SC"/>
          <w:sz w:val="22"/>
        </w:rPr>
        <w:t>T(x) = 100 − 80x/L （℃）； q</w:t>
      </w:r>
      <w:r>
        <w:rPr>
          <w:rFonts w:ascii="Songti SC" w:hAnsi="Songti SC" w:eastAsia="Songti SC"/>
          <w:sz w:val="22"/>
          <w:vertAlign w:val="subscript"/>
        </w:rPr>
        <w:t>x</w:t>
      </w:r>
      <w:r>
        <w:rPr>
          <w:rFonts w:ascii="Songti SC" w:hAnsi="Songti SC" w:eastAsia="Songti SC"/>
          <w:sz w:val="22"/>
        </w:rPr>
        <w:t xml:space="preserve"> = −k dT/dx = 80k/L。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900"/>
        <w:gridCol w:w="2600"/>
        <w:gridCol w:w="3480"/>
      </w:tblGrid>
      <w:tr>
        <w:trPr>
          <w:tblHeader/>
        </w:trPr>
        <w:tc>
          <w:tcPr>
            <w:tcW w:type="dxa" w:w="3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导热系数 / W/(m·K)</w:t>
            </w:r>
          </w:p>
        </w:tc>
        <w:tc>
          <w:tcPr>
            <w:tcW w:type="dxa" w:w="26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中心温度 / ℃</w:t>
            </w:r>
          </w:p>
        </w:tc>
        <w:tc>
          <w:tcPr>
            <w:tcW w:type="dxa" w:w="34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热流密度 / W/m²</w:t>
            </w:r>
          </w:p>
        </w:tc>
      </w:tr>
      <w:tr>
        <w:tc>
          <w:tcPr>
            <w:tcW w:type="dxa" w:w="3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45</w:t>
            </w:r>
          </w:p>
        </w:tc>
        <w:tc>
          <w:tcPr>
            <w:tcW w:type="dxa" w:w="26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60</w:t>
            </w:r>
          </w:p>
        </w:tc>
        <w:tc>
          <w:tcPr>
            <w:tcW w:type="dxa" w:w="34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36 000</w:t>
            </w:r>
          </w:p>
        </w:tc>
      </w:tr>
      <w:tr>
        <w:tc>
          <w:tcPr>
            <w:tcW w:type="dxa" w:w="39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90</w:t>
            </w:r>
          </w:p>
        </w:tc>
        <w:tc>
          <w:tcPr>
            <w:tcW w:type="dxa" w:w="26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60</w:t>
            </w:r>
          </w:p>
        </w:tc>
        <w:tc>
          <w:tcPr>
            <w:tcW w:type="dxa" w:w="34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72 000</w:t>
            </w:r>
          </w:p>
        </w:tc>
      </w:tr>
    </w:tbl>
    <w:p>
      <w:pPr>
        <w:spacing w:after="60" w:line="240" w:lineRule="auto" w:before="0"/>
        <w:jc w:val="center"/>
      </w:pPr>
      <w:r>
        <w:drawing>
          <wp:inline xmlns:a="http://schemas.openxmlformats.org/drawingml/2006/main" xmlns:pic="http://schemas.openxmlformats.org/drawingml/2006/picture">
            <wp:extent cx="2921000" cy="832911"/>
            <wp:docPr id="9" name="Picture 9" descr="steady 参考结果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eady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8329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图 3 基准板沿水平中线的温度。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两端温度固定时，改变均匀导热系数不会改变本题的稳态温度分布，但会改变热流密度；正热流指向右侧。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4 瞬态升温</w:t>
      </w:r>
    </w:p>
    <w:p>
      <w:pPr>
        <w:keepNext w:val="0"/>
        <w:widowControl/>
        <w:spacing w:after="160" w:before="0" w:line="340" w:lineRule="exact"/>
      </w:pPr>
      <w:r>
        <w:rPr>
          <w:rFonts w:ascii="Songti SC" w:hAnsi="Songti SC" w:eastAsia="Songti SC"/>
          <w:sz w:val="21"/>
        </w:rPr>
        <w:t>热扩散率 α = k/(ρc) = 1.154 × 10</w:t>
      </w:r>
      <w:r>
        <w:rPr>
          <w:rFonts w:ascii="Songti SC" w:hAnsi="Songti SC" w:eastAsia="Songti SC"/>
          <w:sz w:val="21"/>
          <w:vertAlign w:val="superscript"/>
        </w:rPr>
        <w:t>−5</w:t>
      </w:r>
      <w:r>
        <w:rPr>
          <w:rFonts w:ascii="Songti SC" w:hAnsi="Songti SC" w:eastAsia="Songti SC"/>
          <w:sz w:val="21"/>
        </w:rPr>
        <w:t xml:space="preserve"> m²/s。中心点的解析级数（t &gt; 0）为：</w:t>
      </w:r>
    </w:p>
    <w:p>
      <w:pPr>
        <w:keepNext w:val="0"/>
        <w:widowControl/>
        <w:spacing w:after="160" w:before="0" w:line="380" w:lineRule="exact"/>
      </w:pPr>
      <w:r>
        <w:rPr>
          <w:rFonts w:ascii="Songti SC" w:hAnsi="Songti SC" w:eastAsia="Songti SC"/>
          <w:sz w:val="22"/>
        </w:rPr>
        <w:t>T(L/2,t) = 60 − (160/π) Σ</w:t>
      </w:r>
      <w:r>
        <w:rPr>
          <w:rFonts w:ascii="Songti SC" w:hAnsi="Songti SC" w:eastAsia="Songti SC"/>
          <w:sz w:val="22"/>
          <w:vertAlign w:val="subscript"/>
        </w:rPr>
        <w:t>n=1</w:t>
      </w:r>
      <w:r>
        <w:rPr>
          <w:rFonts w:ascii="Songti SC" w:hAnsi="Songti SC" w:eastAsia="Songti SC"/>
          <w:sz w:val="22"/>
          <w:vertAlign w:val="superscript"/>
        </w:rPr>
        <w:t>∞</w:t>
      </w:r>
      <w:r>
        <w:rPr>
          <w:rFonts w:ascii="Songti SC" w:hAnsi="Songti SC" w:eastAsia="Songti SC"/>
          <w:sz w:val="22"/>
        </w:rPr>
        <w:t xml:space="preserve"> [sin(nπ/2)/n] exp(−n</w:t>
      </w:r>
      <w:r>
        <w:rPr>
          <w:rFonts w:ascii="Songti SC" w:hAnsi="Songti SC" w:eastAsia="Songti SC"/>
          <w:sz w:val="22"/>
          <w:vertAlign w:val="superscript"/>
        </w:rPr>
        <w:t>2</w:t>
      </w:r>
      <w:r>
        <w:rPr>
          <w:rFonts w:ascii="Songti SC" w:hAnsi="Songti SC" w:eastAsia="Songti SC"/>
          <w:sz w:val="22"/>
        </w:rPr>
        <w:t>π</w:t>
      </w:r>
      <w:r>
        <w:rPr>
          <w:rFonts w:ascii="Songti SC" w:hAnsi="Songti SC" w:eastAsia="Songti SC"/>
          <w:sz w:val="22"/>
          <w:vertAlign w:val="superscript"/>
        </w:rPr>
        <w:t>2</w:t>
      </w:r>
      <w:r>
        <w:rPr>
          <w:rFonts w:ascii="Songti SC" w:hAnsi="Songti SC" w:eastAsia="Songti SC"/>
          <w:sz w:val="22"/>
        </w:rPr>
        <w:t>αt/L</w:t>
      </w:r>
      <w:r>
        <w:rPr>
          <w:rFonts w:ascii="Songti SC" w:hAnsi="Songti SC" w:eastAsia="Songti SC"/>
          <w:sz w:val="22"/>
          <w:vertAlign w:val="superscript"/>
        </w:rPr>
        <w:t>2</w:t>
      </w:r>
      <w:r>
        <w:rPr>
          <w:rFonts w:ascii="Songti SC" w:hAnsi="Songti SC" w:eastAsia="Songti SC"/>
          <w:sz w:val="22"/>
        </w:rPr>
        <w:t>)。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00"/>
        <w:gridCol w:w="2820"/>
        <w:gridCol w:w="2820"/>
        <w:gridCol w:w="2840"/>
      </w:tblGrid>
      <w:tr>
        <w:trPr>
          <w:tblHeader/>
        </w:trPr>
        <w:tc>
          <w:tcPr>
            <w:tcW w:type="dxa" w:w="15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时间 / s</w:t>
            </w:r>
          </w:p>
        </w:tc>
        <w:tc>
          <w:tcPr>
            <w:tcW w:type="dxa" w:w="282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Δt = 2 s / ℃</w:t>
            </w:r>
          </w:p>
        </w:tc>
        <w:tc>
          <w:tcPr>
            <w:tcW w:type="dxa" w:w="282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Δt = 1 s / ℃</w:t>
            </w:r>
          </w:p>
        </w:tc>
        <w:tc>
          <w:tcPr>
            <w:tcW w:type="dxa" w:w="284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解析解 / ℃</w:t>
            </w:r>
          </w:p>
        </w:tc>
      </w:tr>
      <w:tr>
        <w:tc>
          <w:tcPr>
            <w:tcW w:type="dxa" w:w="15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60</w:t>
            </w:r>
          </w:p>
        </w:tc>
        <w:tc>
          <w:tcPr>
            <w:tcW w:type="dxa" w:w="282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34.147</w:t>
            </w:r>
          </w:p>
        </w:tc>
        <w:tc>
          <w:tcPr>
            <w:tcW w:type="dxa" w:w="282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34.231</w:t>
            </w:r>
          </w:p>
        </w:tc>
        <w:tc>
          <w:tcPr>
            <w:tcW w:type="dxa" w:w="284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34.319</w:t>
            </w:r>
          </w:p>
        </w:tc>
      </w:tr>
      <w:tr>
        <w:tc>
          <w:tcPr>
            <w:tcW w:type="dxa" w:w="15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120</w:t>
            </w:r>
          </w:p>
        </w:tc>
        <w:tc>
          <w:tcPr>
            <w:tcW w:type="dxa" w:w="282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46.814</w:t>
            </w:r>
          </w:p>
        </w:tc>
        <w:tc>
          <w:tcPr>
            <w:tcW w:type="dxa" w:w="282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46.914</w:t>
            </w:r>
          </w:p>
        </w:tc>
        <w:tc>
          <w:tcPr>
            <w:tcW w:type="dxa" w:w="284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47.014</w:t>
            </w:r>
          </w:p>
        </w:tc>
      </w:tr>
      <w:tr>
        <w:tc>
          <w:tcPr>
            <w:tcW w:type="dxa" w:w="15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300</w:t>
            </w:r>
          </w:p>
        </w:tc>
        <w:tc>
          <w:tcPr>
            <w:tcW w:type="dxa" w:w="282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58.263</w:t>
            </w:r>
          </w:p>
        </w:tc>
        <w:tc>
          <w:tcPr>
            <w:tcW w:type="dxa" w:w="282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58.296</w:t>
            </w:r>
          </w:p>
        </w:tc>
        <w:tc>
          <w:tcPr>
            <w:tcW w:type="dxa" w:w="284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58.328</w:t>
            </w:r>
          </w:p>
        </w:tc>
      </w:tr>
      <w:tr>
        <w:tc>
          <w:tcPr>
            <w:tcW w:type="dxa" w:w="15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600</w:t>
            </w:r>
          </w:p>
        </w:tc>
        <w:tc>
          <w:tcPr>
            <w:tcW w:type="dxa" w:w="282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59.941</w:t>
            </w:r>
          </w:p>
        </w:tc>
        <w:tc>
          <w:tcPr>
            <w:tcW w:type="dxa" w:w="282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59.943</w:t>
            </w:r>
          </w:p>
        </w:tc>
        <w:tc>
          <w:tcPr>
            <w:tcW w:type="dxa" w:w="284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59.945</w:t>
            </w:r>
          </w:p>
        </w:tc>
      </w:tr>
    </w:tbl>
    <w:p>
      <w:pPr>
        <w:spacing w:after="60" w:line="240" w:lineRule="auto" w:before="0"/>
        <w:jc w:val="center"/>
      </w:pPr>
      <w:r>
        <w:drawing>
          <wp:inline xmlns:a="http://schemas.openxmlformats.org/drawingml/2006/main" xmlns:pic="http://schemas.openxmlformats.org/drawingml/2006/picture">
            <wp:extent cx="2921000" cy="832911"/>
            <wp:docPr id="10" name="Picture 10" descr="transient 参考结果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nsien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8329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图 4 中心温度时间历程；虚线为稳态温度 60 ℃。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共同采样时刻的两步长最大温差为 0.133 ℃，600 s 时温差为 0.0022 ℃。终点温度接近不能代替全过程检查；是否足够准确，应结合所需温度精度判断。</w:t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参考计算：AgentFEM 0.4.0.dev0 / DOLFINx 0.11.0。梁：80 × 8 二次单元；圆筒：40 × 4 二次单元；导热：80 × 16 一次单元。瞬态采用隐式 Euler；显示值按指定单位换算。</w:t>
      </w:r>
    </w:p>
    <w:p>
      <w:r>
        <w:br w:type="page"/>
      </w:r>
    </w:p>
    <w:p>
      <w:pPr>
        <w:pStyle w:val="Heading1"/>
        <w:keepNext/>
        <w:widowControl/>
        <w:spacing w:after="160" w:before="0" w:line="540" w:lineRule="exact"/>
      </w:pPr>
      <w:r>
        <w:rPr>
          <w:rFonts w:ascii="Heiti SC" w:hAnsi="Heiti SC" w:eastAsia="Heiti SC"/>
          <w:sz w:val="36"/>
        </w:rPr>
        <w:t>参考解答 三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5 压杆失稳</w:t>
      </w:r>
    </w:p>
    <w:p>
      <w:pPr>
        <w:keepNext w:val="0"/>
        <w:widowControl/>
        <w:spacing w:after="160" w:before="0" w:line="380" w:lineRule="exact"/>
      </w:pPr>
      <w:r>
        <w:rPr>
          <w:rFonts w:ascii="Songti SC" w:hAnsi="Songti SC" w:eastAsia="Songti SC"/>
          <w:sz w:val="22"/>
        </w:rPr>
        <w:t>I = bh</w:t>
      </w:r>
      <w:r>
        <w:rPr>
          <w:rFonts w:ascii="Songti SC" w:hAnsi="Songti SC" w:eastAsia="Songti SC"/>
          <w:sz w:val="22"/>
          <w:vertAlign w:val="superscript"/>
        </w:rPr>
        <w:t>3</w:t>
      </w:r>
      <w:r>
        <w:rPr>
          <w:rFonts w:ascii="Songti SC" w:hAnsi="Songti SC" w:eastAsia="Songti SC"/>
          <w:sz w:val="22"/>
        </w:rPr>
        <w:t>/12; P</w:t>
      </w:r>
      <w:r>
        <w:rPr>
          <w:rFonts w:ascii="Songti SC" w:hAnsi="Songti SC" w:eastAsia="Songti SC"/>
          <w:sz w:val="22"/>
          <w:vertAlign w:val="subscript"/>
        </w:rPr>
        <w:t>cr</w:t>
      </w:r>
      <w:r>
        <w:rPr>
          <w:rFonts w:ascii="Songti SC" w:hAnsi="Songti SC" w:eastAsia="Songti SC"/>
          <w:sz w:val="22"/>
        </w:rPr>
        <w:t xml:space="preserve"> = π</w:t>
      </w:r>
      <w:r>
        <w:rPr>
          <w:rFonts w:ascii="Songti SC" w:hAnsi="Songti SC" w:eastAsia="Songti SC"/>
          <w:sz w:val="22"/>
          <w:vertAlign w:val="superscript"/>
        </w:rPr>
        <w:t>2</w:t>
      </w:r>
      <w:r>
        <w:rPr>
          <w:rFonts w:ascii="Songti SC" w:hAnsi="Songti SC" w:eastAsia="Songti SC"/>
          <w:sz w:val="22"/>
        </w:rPr>
        <w:t>EI/(4L</w:t>
      </w:r>
      <w:r>
        <w:rPr>
          <w:rFonts w:ascii="Songti SC" w:hAnsi="Songti SC" w:eastAsia="Songti SC"/>
          <w:sz w:val="22"/>
          <w:vertAlign w:val="superscript"/>
        </w:rPr>
        <w:t>2</w:t>
      </w:r>
      <w:r>
        <w:rPr>
          <w:rFonts w:ascii="Songti SC" w:hAnsi="Songti SC" w:eastAsia="Songti SC"/>
          <w:sz w:val="22"/>
        </w:rPr>
        <w:t>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800"/>
        <w:gridCol w:w="6180"/>
      </w:tblGrid>
      <w:tr>
        <w:trPr>
          <w:tblHeader/>
        </w:trPr>
        <w:tc>
          <w:tcPr>
            <w:tcW w:type="dxa" w:w="3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总压力 / kN</w:t>
            </w:r>
          </w:p>
        </w:tc>
        <w:tc>
          <w:tcPr>
            <w:tcW w:type="dxa" w:w="6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右端平均侧移 / mm</w:t>
            </w:r>
          </w:p>
        </w:tc>
      </w:tr>
      <w:tr>
        <w:tc>
          <w:tcPr>
            <w:tcW w:type="dxa" w:w="3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6.0</w:t>
            </w:r>
          </w:p>
        </w:tc>
        <w:tc>
          <w:tcPr>
            <w:tcW w:type="dxa" w:w="6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0.125</w:t>
            </w:r>
          </w:p>
        </w:tc>
      </w:tr>
      <w:tr>
        <w:tc>
          <w:tcPr>
            <w:tcW w:type="dxa" w:w="3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9.0</w:t>
            </w:r>
          </w:p>
        </w:tc>
        <w:tc>
          <w:tcPr>
            <w:tcW w:type="dxa" w:w="6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0.505</w:t>
            </w:r>
          </w:p>
        </w:tc>
      </w:tr>
      <w:tr>
        <w:tc>
          <w:tcPr>
            <w:tcW w:type="dxa" w:w="38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10.7</w:t>
            </w:r>
          </w:p>
        </w:tc>
        <w:tc>
          <w:tcPr>
            <w:tcW w:type="dxa" w:w="61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11.953</w:t>
            </w:r>
          </w:p>
        </w:tc>
      </w:tr>
    </w:tbl>
    <w:p>
      <w:pPr>
        <w:spacing w:after="60" w:line="240" w:lineRule="auto" w:before="160"/>
        <w:jc w:val="center"/>
      </w:pPr>
      <w:r>
        <w:drawing>
          <wp:inline xmlns:a="http://schemas.openxmlformats.org/drawingml/2006/main" xmlns:pic="http://schemas.openxmlformats.org/drawingml/2006/picture">
            <wp:extent cx="3302000" cy="1816100"/>
            <wp:docPr id="11" name="Picture 11" descr="column 参考结果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umn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181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欧拉值为 10.795 kN。侧移从初始弯曲形状量起，在临界值附近迅速增长。含缺陷杆的平滑响应不是理想直杆的分岔点；本例不考虑屈服。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6 负泊松比</w:t>
      </w:r>
    </w:p>
    <w:p>
      <w:pPr>
        <w:keepNext w:val="0"/>
        <w:widowControl/>
        <w:spacing w:after="160" w:before="0" w:line="380" w:lineRule="exact"/>
      </w:pPr>
      <w:r>
        <w:rPr>
          <w:rFonts w:ascii="Songti SC" w:hAnsi="Songti SC" w:eastAsia="Songti SC"/>
          <w:sz w:val="22"/>
        </w:rPr>
        <w:t>ν</w:t>
      </w:r>
      <w:r>
        <w:rPr>
          <w:rFonts w:ascii="Songti SC" w:hAnsi="Songti SC" w:eastAsia="Songti SC"/>
          <w:sz w:val="22"/>
          <w:vertAlign w:val="subscript"/>
        </w:rPr>
        <w:t>app</w:t>
      </w:r>
      <w:r>
        <w:rPr>
          <w:rFonts w:ascii="Songti SC" w:hAnsi="Songti SC" w:eastAsia="Songti SC"/>
          <w:sz w:val="22"/>
        </w:rPr>
        <w:t xml:space="preserve"> = −ε</w:t>
      </w:r>
      <w:r>
        <w:rPr>
          <w:rFonts w:ascii="Songti SC" w:hAnsi="Songti SC" w:eastAsia="Songti SC"/>
          <w:sz w:val="22"/>
          <w:vertAlign w:val="subscript"/>
        </w:rPr>
        <w:t>y</w:t>
      </w:r>
      <w:r>
        <w:rPr>
          <w:rFonts w:ascii="Songti SC" w:hAnsi="Songti SC" w:eastAsia="Songti SC"/>
          <w:sz w:val="22"/>
        </w:rPr>
        <w:t>/ε</w:t>
      </w:r>
      <w:r>
        <w:rPr>
          <w:rFonts w:ascii="Songti SC" w:hAnsi="Songti SC" w:eastAsia="Songti SC"/>
          <w:sz w:val="22"/>
          <w:vertAlign w:val="subscript"/>
        </w:rPr>
        <w:t>x</w:t>
      </w:r>
      <w:r>
        <w:rPr>
          <w:rFonts w:ascii="Songti SC" w:hAnsi="Songti SC" w:eastAsia="Songti SC"/>
          <w:sz w:val="22"/>
        </w:rPr>
        <w:t>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00"/>
        <w:gridCol w:w="2400"/>
        <w:gridCol w:w="2700"/>
        <w:gridCol w:w="2680"/>
      </w:tblGrid>
      <w:tr>
        <w:trPr>
          <w:tblHeader/>
        </w:trPr>
        <w:tc>
          <w:tcPr>
            <w:tcW w:type="dxa" w:w="22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试样</w:t>
            </w:r>
          </w:p>
        </w:tc>
        <w:tc>
          <w:tcPr>
            <w:tcW w:type="dxa" w:w="2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轴向应变</w:t>
            </w:r>
          </w:p>
        </w:tc>
        <w:tc>
          <w:tcPr>
            <w:tcW w:type="dxa" w:w="27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横向应变</w:t>
            </w:r>
          </w:p>
        </w:tc>
        <w:tc>
          <w:tcPr>
            <w:tcW w:type="dxa" w:w="2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  <w:shd w:fill="EEEEEE"/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表观泊松比</w:t>
            </w:r>
          </w:p>
        </w:tc>
      </w:tr>
      <w:tr>
        <w:tc>
          <w:tcPr>
            <w:tcW w:type="dxa" w:w="22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蜂窝</w:t>
            </w:r>
          </w:p>
        </w:tc>
        <w:tc>
          <w:tcPr>
            <w:tcW w:type="dxa" w:w="2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0.001000</w:t>
            </w:r>
          </w:p>
        </w:tc>
        <w:tc>
          <w:tcPr>
            <w:tcW w:type="dxa" w:w="27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0.001303</w:t>
            </w:r>
          </w:p>
        </w:tc>
        <w:tc>
          <w:tcPr>
            <w:tcW w:type="dxa" w:w="2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-1.3026</w:t>
            </w:r>
          </w:p>
        </w:tc>
      </w:tr>
      <w:tr>
        <w:tc>
          <w:tcPr>
            <w:tcW w:type="dxa" w:w="22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实心板</w:t>
            </w:r>
          </w:p>
        </w:tc>
        <w:tc>
          <w:tcPr>
            <w:tcW w:type="dxa" w:w="24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0.001000</w:t>
            </w:r>
          </w:p>
        </w:tc>
        <w:tc>
          <w:tcPr>
            <w:tcW w:type="dxa" w:w="270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-0.000300</w:t>
            </w:r>
          </w:p>
        </w:tc>
        <w:tc>
          <w:tcPr>
            <w:tcW w:type="dxa" w:w="2680"/>
            <w:vAlign w:val="center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pStyle w:val="Caption"/>
              <w:keepNext w:val="0"/>
              <w:widowControl/>
              <w:spacing w:after="60" w:before="0" w:line="240" w:lineRule="exact"/>
            </w:pPr>
            <w:r>
              <w:rPr>
                <w:rFonts w:ascii="Songti SC" w:hAnsi="Songti SC" w:eastAsia="Songti SC"/>
                <w:sz w:val="18"/>
              </w:rPr>
              <w:t>0.3000</w:t>
            </w:r>
          </w:p>
        </w:tc>
      </w:tr>
    </w:tbl>
    <w:p>
      <w:pPr>
        <w:spacing w:after="60" w:line="240" w:lineRule="auto" w:before="160"/>
        <w:jc w:val="center"/>
      </w:pPr>
      <w:r>
        <w:drawing>
          <wp:inline xmlns:a="http://schemas.openxmlformats.org/drawingml/2006/main" xmlns:pic="http://schemas.openxmlformats.org/drawingml/2006/picture">
            <wp:extent cx="2794000" cy="1615807"/>
            <wp:docPr id="12" name="Picture 12" descr="honeycomb 参考结果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neycomb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94000" cy="16158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图与 GIF 显示放大 100 倍，实际拉伸仍为 0.1%。GIF 插值展示线性结果，不是动力学仿真。加密网格给出 −1.3062，相差约 0.28%。</w:t>
      </w:r>
    </w:p>
    <w:p>
      <w:pPr>
        <w:pStyle w:val="Heading2"/>
        <w:keepNext/>
        <w:widowControl/>
        <w:spacing w:after="160" w:before="100" w:line="380" w:lineRule="exact"/>
      </w:pPr>
      <w:r>
        <w:rPr>
          <w:rFonts w:ascii="Heiti SC" w:hAnsi="Heiti SC" w:eastAsia="Heiti SC"/>
          <w:sz w:val="24"/>
        </w:rPr>
        <w:t>参考资料</w:t>
      </w:r>
    </w:p>
    <w:p>
      <w:pPr>
        <w:pStyle w:val="Caption"/>
        <w:keepNext w:val="0"/>
        <w:widowControl/>
        <w:spacing w:after="60" w:before="0" w:line="220" w:lineRule="exact"/>
      </w:pPr>
      <w:r>
        <w:rPr>
          <w:rFonts w:ascii="Songti SC" w:hAnsi="Songti SC" w:eastAsia="Songti SC"/>
          <w:sz w:val="16"/>
        </w:rPr>
        <w:t xml:space="preserve">[1] 本讲义网页互动版：可复制提示词、查看结果图与操作说明。 </w:t>
      </w:r>
      <w:hyperlink r:id="rId25">
        <w:r>
          <w:rPr>
            <w:color w:val="336B85"/>
          </w:rPr>
          <w:t>https://lab.haoming-luo.com/learn/</w:t>
        </w:r>
      </w:hyperlink>
    </w:p>
    <w:p>
      <w:pPr>
        <w:pStyle w:val="Caption"/>
        <w:keepNext w:val="0"/>
        <w:widowControl/>
        <w:spacing w:after="60" w:before="0" w:line="220" w:lineRule="exact"/>
      </w:pPr>
      <w:r>
        <w:rPr>
          <w:rFonts w:ascii="Songti SC" w:hAnsi="Songti SC" w:eastAsia="Songti SC"/>
          <w:sz w:val="16"/>
        </w:rPr>
        <w:t xml:space="preserve">[2] AgentFEM 安装说明。 </w:t>
      </w:r>
      <w:hyperlink r:id="rId11">
        <w:r>
          <w:rPr>
            <w:color w:val="336B85"/>
          </w:rPr>
          <w:t>https://github.com/haoming-luo/agentfem/blob/main/INSTALL.md</w:t>
        </w:r>
      </w:hyperlink>
    </w:p>
    <w:p>
      <w:pPr>
        <w:pStyle w:val="Caption"/>
        <w:keepNext w:val="0"/>
        <w:widowControl/>
        <w:spacing w:after="100" w:before="0" w:line="260" w:lineRule="exact"/>
      </w:pPr>
      <w:r>
        <w:rPr>
          <w:rFonts w:ascii="Songti SC" w:hAnsi="Songti SC" w:eastAsia="Songti SC"/>
          <w:sz w:val="17"/>
        </w:rPr>
        <w:t>致谢：感谢北京理工大学王猛教授最早提出将 AI 原生有限元仿真引入课堂的建议，感谢西北工业大学白任梓老师首次完成 AgentFEM 的 Windows 安装验证，并参与教学讲义编制。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0" w:right="960" w:bottom="900" w:left="960" w:header="440" w:footer="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tabs>
        <w:tab w:pos="9400" w:val="left"/>
      </w:tabs>
    </w:pPr>
    <w:r>
      <w:t>添加页脚</w:t>
    </w:r>
    <w:r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AgentFEM  /  基础实验讲义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exact" w:before="0"/>
    </w:pPr>
    <w:rPr>
      <w:rFonts w:ascii="Songti SC" w:hAnsi="Songti SC" w:eastAsia="Songti SC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 w:line="300" w:lineRule="exact"/>
      <w:outlineLvl w:val="0"/>
    </w:pPr>
    <w:rPr>
      <w:rFonts w:ascii="Heiti SC" w:hAnsi="Heiti SC" w:eastAsia="Heiti SC"/>
      <w:b/>
      <w:bCs/>
      <w:i w:val="0"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00" w:line="300" w:lineRule="exact"/>
      <w:outlineLvl w:val="1"/>
    </w:pPr>
    <w:rPr>
      <w:rFonts w:ascii="Heiti SC" w:hAnsi="Heiti SC" w:eastAsia="Heiti SC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300" w:lineRule="exact" w:before="0"/>
      <w:contextualSpacing/>
    </w:pPr>
    <w:rPr>
      <w:rFonts w:ascii="Heiti SC" w:hAnsi="Heiti SC" w:eastAsia="Heiti SC"/>
      <w:b w:val="0"/>
      <w:i w:val="0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300" w:lineRule="exact" w:after="100" w:before="0"/>
    </w:pPr>
    <w:rPr>
      <w:rFonts w:ascii="Songti SC" w:hAnsi="Songti SC" w:eastAsia="Songti SC"/>
      <w:b w:val="0"/>
      <w:bCs/>
      <w:i w:val="0"/>
      <w:color w:val="000000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github.com/haoming-luo/agentfem/blob/main/INSTALL.md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hyperlink" Target="https://lab.haoming-luo.com/learn/files/honeycomb.zip" TargetMode="External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hyperlink" Target="https://lab.haoming-luo.com/lear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辅助有限元分析</dc:title>
  <dc:subject>AgentFEM 基础实验讲义</dc:subject>
  <dc:creator>Haoming Luo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